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Jack et al.- High-throughput plant defense </w:t>
      </w:r>
      <w:r w:rsidDel="00000000" w:rsidR="00000000" w:rsidRPr="00000000">
        <w:rPr>
          <w:rFonts w:ascii="Arial" w:cs="Arial" w:eastAsia="Arial" w:hAnsi="Arial"/>
          <w:sz w:val="22"/>
          <w:szCs w:val="22"/>
          <w:rtl w:val="0"/>
        </w:rPr>
        <w:t xml:space="preserve">analysis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2">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pageBreakBefore w:val="0"/>
        <w:spacing w:line="480"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4">
      <w:pPr>
        <w:pageBreakBefore w:val="0"/>
        <w:spacing w:line="48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A</w:t>
      </w:r>
      <w:r w:rsidDel="00000000" w:rsidR="00000000" w:rsidRPr="00000000">
        <w:rPr>
          <w:rFonts w:ascii="Arial" w:cs="Arial" w:eastAsia="Arial" w:hAnsi="Arial"/>
          <w:b w:val="1"/>
          <w:color w:val="000000"/>
          <w:sz w:val="22"/>
          <w:szCs w:val="22"/>
          <w:rtl w:val="0"/>
        </w:rPr>
        <w:t xml:space="preserve"> h</w:t>
      </w:r>
      <w:r w:rsidDel="00000000" w:rsidR="00000000" w:rsidRPr="00000000">
        <w:rPr>
          <w:rFonts w:ascii="Arial" w:cs="Arial" w:eastAsia="Arial" w:hAnsi="Arial"/>
          <w:b w:val="1"/>
          <w:color w:val="000000"/>
          <w:sz w:val="22"/>
          <w:szCs w:val="22"/>
          <w:rtl w:val="0"/>
        </w:rPr>
        <w:t xml:space="preserve">i</w:t>
      </w:r>
      <w:r w:rsidDel="00000000" w:rsidR="00000000" w:rsidRPr="00000000">
        <w:rPr>
          <w:rFonts w:ascii="Arial" w:cs="Arial" w:eastAsia="Arial" w:hAnsi="Arial"/>
          <w:b w:val="1"/>
          <w:color w:val="000000"/>
          <w:sz w:val="22"/>
          <w:szCs w:val="22"/>
          <w:rtl w:val="0"/>
        </w:rPr>
        <w:t xml:space="preserve">gh-throughput method of analyzing multiple plant defensive compounds in minimized sample mass</w:t>
      </w:r>
      <w:r w:rsidDel="00000000" w:rsidR="00000000" w:rsidRPr="00000000">
        <w:rPr>
          <w:rFonts w:ascii="Arial" w:cs="Arial" w:eastAsia="Arial" w:hAnsi="Arial"/>
          <w:b w:val="1"/>
          <w:color w:val="000000"/>
          <w:sz w:val="22"/>
          <w:szCs w:val="22"/>
          <w:vertAlign w:val="superscript"/>
          <w:rtl w:val="0"/>
        </w:rPr>
        <w:t xml:space="preserve">1</w:t>
      </w:r>
      <w:r w:rsidDel="00000000" w:rsidR="00000000" w:rsidRPr="00000000">
        <w:rPr>
          <w:rtl w:val="0"/>
        </w:rPr>
      </w:r>
    </w:p>
    <w:p w:rsidR="00000000" w:rsidDel="00000000" w:rsidP="00000000" w:rsidRDefault="00000000" w:rsidRPr="00000000" w14:paraId="00000005">
      <w:pPr>
        <w:pageBreakBefore w:val="0"/>
        <w:spacing w:line="480" w:lineRule="auto"/>
        <w:jc w:val="cente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6">
      <w:pPr>
        <w:pageBreakBefore w:val="0"/>
        <w:spacing w:line="480" w:lineRule="auto"/>
        <w:rPr>
          <w:rFonts w:ascii="Arial" w:cs="Arial" w:eastAsia="Arial" w:hAnsi="Arial"/>
          <w:color w:val="000000"/>
          <w:sz w:val="22"/>
          <w:szCs w:val="22"/>
          <w:vertAlign w:val="superscript"/>
        </w:rPr>
      </w:pPr>
      <w:r w:rsidDel="00000000" w:rsidR="00000000" w:rsidRPr="00000000">
        <w:rPr>
          <w:rFonts w:ascii="Arial" w:cs="Arial" w:eastAsia="Arial" w:hAnsi="Arial"/>
          <w:color w:val="000000"/>
          <w:sz w:val="22"/>
          <w:szCs w:val="22"/>
          <w:rtl w:val="0"/>
        </w:rPr>
        <w:t xml:space="preserve">Chandra N. Jack</w:t>
      </w:r>
      <w:r w:rsidDel="00000000" w:rsidR="00000000" w:rsidRPr="00000000">
        <w:rPr>
          <w:rFonts w:ascii="Arial" w:cs="Arial" w:eastAsia="Arial" w:hAnsi="Arial"/>
          <w:color w:val="000000"/>
          <w:sz w:val="22"/>
          <w:szCs w:val="22"/>
          <w:vertAlign w:val="superscript"/>
          <w:rtl w:val="0"/>
        </w:rPr>
        <w:t xml:space="preserve">2,6,§</w:t>
      </w:r>
      <w:r w:rsidDel="00000000" w:rsidR="00000000" w:rsidRPr="00000000">
        <w:rPr>
          <w:rFonts w:ascii="Arial" w:cs="Arial" w:eastAsia="Arial" w:hAnsi="Arial"/>
          <w:color w:val="000000"/>
          <w:sz w:val="22"/>
          <w:szCs w:val="22"/>
          <w:rtl w:val="0"/>
        </w:rPr>
        <w:t xml:space="preserve">, Shawna L. Rowe</w:t>
      </w:r>
      <w:r w:rsidDel="00000000" w:rsidR="00000000" w:rsidRPr="00000000">
        <w:rPr>
          <w:rFonts w:ascii="Arial" w:cs="Arial" w:eastAsia="Arial" w:hAnsi="Arial"/>
          <w:color w:val="000000"/>
          <w:sz w:val="22"/>
          <w:szCs w:val="22"/>
          <w:vertAlign w:val="superscript"/>
          <w:rtl w:val="0"/>
        </w:rPr>
        <w:t xml:space="preserve">3,§</w:t>
      </w:r>
      <w:r w:rsidDel="00000000" w:rsidR="00000000" w:rsidRPr="00000000">
        <w:rPr>
          <w:rFonts w:ascii="Arial" w:cs="Arial" w:eastAsia="Arial" w:hAnsi="Arial"/>
          <w:color w:val="000000"/>
          <w:sz w:val="22"/>
          <w:szCs w:val="22"/>
          <w:rtl w:val="0"/>
        </w:rPr>
        <w:t xml:space="preserve">, Stephanie S. Porter</w:t>
      </w:r>
      <w:r w:rsidDel="00000000" w:rsidR="00000000" w:rsidRPr="00000000">
        <w:rPr>
          <w:rFonts w:ascii="Arial" w:cs="Arial" w:eastAsia="Arial" w:hAnsi="Arial"/>
          <w:color w:val="000000"/>
          <w:sz w:val="22"/>
          <w:szCs w:val="22"/>
          <w:vertAlign w:val="superscript"/>
          <w:rtl w:val="0"/>
        </w:rPr>
        <w:t xml:space="preserve">4</w:t>
      </w:r>
      <w:r w:rsidDel="00000000" w:rsidR="00000000" w:rsidRPr="00000000">
        <w:rPr>
          <w:rFonts w:ascii="Arial" w:cs="Arial" w:eastAsia="Arial" w:hAnsi="Arial"/>
          <w:color w:val="000000"/>
          <w:sz w:val="22"/>
          <w:szCs w:val="22"/>
          <w:rtl w:val="0"/>
        </w:rPr>
        <w:t xml:space="preserve">, Maren L. Friesen</w:t>
      </w:r>
      <w:r w:rsidDel="00000000" w:rsidR="00000000" w:rsidRPr="00000000">
        <w:rPr>
          <w:rFonts w:ascii="Arial" w:cs="Arial" w:eastAsia="Arial" w:hAnsi="Arial"/>
          <w:color w:val="000000"/>
          <w:sz w:val="22"/>
          <w:szCs w:val="22"/>
          <w:vertAlign w:val="superscript"/>
          <w:rtl w:val="0"/>
        </w:rPr>
        <w:t xml:space="preserve">2,5</w:t>
      </w:r>
    </w:p>
    <w:p w:rsidR="00000000" w:rsidDel="00000000" w:rsidP="00000000" w:rsidRDefault="00000000" w:rsidRPr="00000000" w14:paraId="00000007">
      <w:pPr>
        <w:pageBreakBefore w:val="0"/>
        <w:spacing w:line="480" w:lineRule="auto"/>
        <w:rPr>
          <w:rFonts w:ascii="Arial" w:cs="Arial" w:eastAsia="Arial" w:hAnsi="Arial"/>
          <w:color w:val="000000"/>
          <w:sz w:val="22"/>
          <w:szCs w:val="22"/>
          <w:vertAlign w:val="superscript"/>
        </w:rPr>
      </w:pPr>
      <w:r w:rsidDel="00000000" w:rsidR="00000000" w:rsidRPr="00000000">
        <w:rPr>
          <w:rtl w:val="0"/>
        </w:rPr>
      </w:r>
    </w:p>
    <w:p w:rsidR="00000000" w:rsidDel="00000000" w:rsidP="00000000" w:rsidRDefault="00000000" w:rsidRPr="00000000" w14:paraId="00000008">
      <w:pPr>
        <w:pageBreakBefore w:val="0"/>
        <w:spacing w:line="4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vertAlign w:val="superscript"/>
          <w:rtl w:val="0"/>
        </w:rPr>
        <w:t xml:space="preserve">2 </w:t>
      </w:r>
      <w:r w:rsidDel="00000000" w:rsidR="00000000" w:rsidRPr="00000000">
        <w:rPr>
          <w:rFonts w:ascii="Arial" w:cs="Arial" w:eastAsia="Arial" w:hAnsi="Arial"/>
          <w:color w:val="000000"/>
          <w:sz w:val="22"/>
          <w:szCs w:val="22"/>
          <w:rtl w:val="0"/>
        </w:rPr>
        <w:t xml:space="preserve">Washington State University, Department of Plant Pathology, Pullman, WA, 99164</w:t>
      </w:r>
    </w:p>
    <w:p w:rsidR="00000000" w:rsidDel="00000000" w:rsidP="00000000" w:rsidRDefault="00000000" w:rsidRPr="00000000" w14:paraId="00000009">
      <w:pPr>
        <w:pageBreakBefore w:val="0"/>
        <w:spacing w:line="4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vertAlign w:val="superscript"/>
          <w:rtl w:val="0"/>
        </w:rPr>
        <w:t xml:space="preserve">3 </w:t>
      </w:r>
      <w:r w:rsidDel="00000000" w:rsidR="00000000" w:rsidRPr="00000000">
        <w:rPr>
          <w:rFonts w:ascii="Arial" w:cs="Arial" w:eastAsia="Arial" w:hAnsi="Arial"/>
          <w:color w:val="000000"/>
          <w:sz w:val="22"/>
          <w:szCs w:val="22"/>
          <w:rtl w:val="0"/>
        </w:rPr>
        <w:t xml:space="preserve">Michigan State University, Department of Plant Biology, East Lansing, MI 48824</w:t>
      </w:r>
    </w:p>
    <w:p w:rsidR="00000000" w:rsidDel="00000000" w:rsidP="00000000" w:rsidRDefault="00000000" w:rsidRPr="00000000" w14:paraId="0000000A">
      <w:pPr>
        <w:pageBreakBefore w:val="0"/>
        <w:spacing w:line="4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vertAlign w:val="superscript"/>
          <w:rtl w:val="0"/>
        </w:rPr>
        <w:t xml:space="preserve">4 </w:t>
      </w:r>
      <w:r w:rsidDel="00000000" w:rsidR="00000000" w:rsidRPr="00000000">
        <w:rPr>
          <w:rFonts w:ascii="Arial" w:cs="Arial" w:eastAsia="Arial" w:hAnsi="Arial"/>
          <w:color w:val="000000"/>
          <w:sz w:val="22"/>
          <w:szCs w:val="22"/>
          <w:rtl w:val="0"/>
        </w:rPr>
        <w:t xml:space="preserve">Washington State University, School of Biological Sciences, Vancouver, WA</w:t>
      </w:r>
    </w:p>
    <w:p w:rsidR="00000000" w:rsidDel="00000000" w:rsidP="00000000" w:rsidRDefault="00000000" w:rsidRPr="00000000" w14:paraId="0000000B">
      <w:pPr>
        <w:pageBreakBefore w:val="0"/>
        <w:spacing w:line="4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vertAlign w:val="superscript"/>
          <w:rtl w:val="0"/>
        </w:rPr>
        <w:t xml:space="preserve">5 </w:t>
      </w:r>
      <w:r w:rsidDel="00000000" w:rsidR="00000000" w:rsidRPr="00000000">
        <w:rPr>
          <w:rFonts w:ascii="Arial" w:cs="Arial" w:eastAsia="Arial" w:hAnsi="Arial"/>
          <w:color w:val="000000"/>
          <w:sz w:val="22"/>
          <w:szCs w:val="22"/>
          <w:rtl w:val="0"/>
        </w:rPr>
        <w:t xml:space="preserve">Washington State University, Department of Crop and Soil Sciences, Pullman, WA</w:t>
      </w:r>
    </w:p>
    <w:p w:rsidR="00000000" w:rsidDel="00000000" w:rsidP="00000000" w:rsidRDefault="00000000" w:rsidRPr="00000000" w14:paraId="0000000C">
      <w:pPr>
        <w:pageBreakBefore w:val="0"/>
        <w:spacing w:line="4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vertAlign w:val="superscript"/>
          <w:rtl w:val="0"/>
        </w:rPr>
        <w:t xml:space="preserve">§</w:t>
      </w:r>
      <w:r w:rsidDel="00000000" w:rsidR="00000000" w:rsidRPr="00000000">
        <w:rPr>
          <w:rFonts w:ascii="Arial" w:cs="Arial" w:eastAsia="Arial" w:hAnsi="Arial"/>
          <w:color w:val="000000"/>
          <w:sz w:val="22"/>
          <w:szCs w:val="22"/>
          <w:rtl w:val="0"/>
        </w:rPr>
        <w:t xml:space="preserve">Co-first authors </w:t>
      </w:r>
    </w:p>
    <w:p w:rsidR="00000000" w:rsidDel="00000000" w:rsidP="00000000" w:rsidRDefault="00000000" w:rsidRPr="00000000" w14:paraId="0000000D">
      <w:pPr>
        <w:pageBreakBefore w:val="0"/>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pageBreakBefore w:val="0"/>
        <w:spacing w:line="4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Email Addresses: CNJ: </w:t>
      </w:r>
      <w:hyperlink r:id="rId6">
        <w:r w:rsidDel="00000000" w:rsidR="00000000" w:rsidRPr="00000000">
          <w:rPr>
            <w:rFonts w:ascii="Arial" w:cs="Arial" w:eastAsia="Arial" w:hAnsi="Arial"/>
            <w:color w:val="0000ff"/>
            <w:sz w:val="22"/>
            <w:szCs w:val="22"/>
            <w:u w:val="single"/>
            <w:rtl w:val="0"/>
          </w:rPr>
          <w:t xml:space="preserve">chandra.jack@gmail.com</w:t>
        </w:r>
      </w:hyperlink>
      <w:r w:rsidDel="00000000" w:rsidR="00000000" w:rsidRPr="00000000">
        <w:rPr>
          <w:rtl w:val="0"/>
        </w:rPr>
      </w:r>
    </w:p>
    <w:p w:rsidR="00000000" w:rsidDel="00000000" w:rsidP="00000000" w:rsidRDefault="00000000" w:rsidRPr="00000000" w14:paraId="0000000F">
      <w:pPr>
        <w:pageBreakBefore w:val="0"/>
        <w:spacing w:line="480" w:lineRule="auto"/>
        <w:rPr>
          <w:rFonts w:ascii="Arial" w:cs="Arial" w:eastAsia="Arial" w:hAnsi="Arial"/>
          <w:sz w:val="22"/>
          <w:szCs w:val="22"/>
        </w:rPr>
      </w:pPr>
      <w:r w:rsidDel="00000000" w:rsidR="00000000" w:rsidRPr="00000000">
        <w:rPr>
          <w:rFonts w:ascii="Arial" w:cs="Arial" w:eastAsia="Arial" w:hAnsi="Arial"/>
          <w:sz w:val="22"/>
          <w:szCs w:val="22"/>
          <w:rtl w:val="0"/>
        </w:rPr>
        <w:tab/>
        <w:tab/>
        <w:t xml:space="preserve">     SLR: </w:t>
      </w:r>
      <w:hyperlink r:id="rId7">
        <w:r w:rsidDel="00000000" w:rsidR="00000000" w:rsidRPr="00000000">
          <w:rPr>
            <w:rFonts w:ascii="Arial" w:cs="Arial" w:eastAsia="Arial" w:hAnsi="Arial"/>
            <w:color w:val="0000ff"/>
            <w:sz w:val="22"/>
            <w:szCs w:val="22"/>
            <w:u w:val="single"/>
            <w:rtl w:val="0"/>
          </w:rPr>
          <w:t xml:space="preserve">roweshaw@gmail.com</w:t>
        </w:r>
      </w:hyperlink>
      <w:r w:rsidDel="00000000" w:rsidR="00000000" w:rsidRPr="00000000">
        <w:rPr>
          <w:rtl w:val="0"/>
        </w:rPr>
      </w:r>
    </w:p>
    <w:p w:rsidR="00000000" w:rsidDel="00000000" w:rsidP="00000000" w:rsidRDefault="00000000" w:rsidRPr="00000000" w14:paraId="00000010">
      <w:pPr>
        <w:pageBreakBefore w:val="0"/>
        <w:spacing w:line="480" w:lineRule="auto"/>
        <w:rPr>
          <w:rFonts w:ascii="Arial" w:cs="Arial" w:eastAsia="Arial" w:hAnsi="Arial"/>
          <w:sz w:val="22"/>
          <w:szCs w:val="22"/>
        </w:rPr>
      </w:pPr>
      <w:r w:rsidDel="00000000" w:rsidR="00000000" w:rsidRPr="00000000">
        <w:rPr>
          <w:rFonts w:ascii="Arial" w:cs="Arial" w:eastAsia="Arial" w:hAnsi="Arial"/>
          <w:sz w:val="22"/>
          <w:szCs w:val="22"/>
          <w:rtl w:val="0"/>
        </w:rPr>
        <w:tab/>
        <w:tab/>
        <w:t xml:space="preserve">     SSP: </w:t>
      </w:r>
      <w:hyperlink r:id="rId8">
        <w:r w:rsidDel="00000000" w:rsidR="00000000" w:rsidRPr="00000000">
          <w:rPr>
            <w:rFonts w:ascii="Arial" w:cs="Arial" w:eastAsia="Arial" w:hAnsi="Arial"/>
            <w:color w:val="0000ff"/>
            <w:sz w:val="22"/>
            <w:szCs w:val="22"/>
            <w:u w:val="single"/>
            <w:rtl w:val="0"/>
          </w:rPr>
          <w:t xml:space="preserve">stephanie.porter@wsu.edu</w:t>
        </w:r>
      </w:hyperlink>
      <w:r w:rsidDel="00000000" w:rsidR="00000000" w:rsidRPr="00000000">
        <w:rPr>
          <w:rtl w:val="0"/>
        </w:rPr>
      </w:r>
    </w:p>
    <w:p w:rsidR="00000000" w:rsidDel="00000000" w:rsidP="00000000" w:rsidRDefault="00000000" w:rsidRPr="00000000" w14:paraId="00000011">
      <w:pPr>
        <w:pageBreakBefore w:val="0"/>
        <w:spacing w:line="480" w:lineRule="auto"/>
        <w:rPr>
          <w:rFonts w:ascii="Arial" w:cs="Arial" w:eastAsia="Arial" w:hAnsi="Arial"/>
          <w:sz w:val="22"/>
          <w:szCs w:val="22"/>
        </w:rPr>
      </w:pPr>
      <w:r w:rsidDel="00000000" w:rsidR="00000000" w:rsidRPr="00000000">
        <w:rPr>
          <w:rFonts w:ascii="Arial" w:cs="Arial" w:eastAsia="Arial" w:hAnsi="Arial"/>
          <w:sz w:val="22"/>
          <w:szCs w:val="22"/>
          <w:rtl w:val="0"/>
        </w:rPr>
        <w:tab/>
        <w:tab/>
        <w:t xml:space="preserve">     MLF: </w:t>
      </w:r>
      <w:hyperlink r:id="rId9">
        <w:r w:rsidDel="00000000" w:rsidR="00000000" w:rsidRPr="00000000">
          <w:rPr>
            <w:rFonts w:ascii="Arial" w:cs="Arial" w:eastAsia="Arial" w:hAnsi="Arial"/>
            <w:color w:val="0000ff"/>
            <w:sz w:val="22"/>
            <w:szCs w:val="22"/>
            <w:u w:val="single"/>
            <w:rtl w:val="0"/>
          </w:rPr>
          <w:t xml:space="preserve">m.friesen@wsu.edu</w:t>
        </w:r>
      </w:hyperlink>
      <w:r w:rsidDel="00000000" w:rsidR="00000000" w:rsidRPr="00000000">
        <w:rPr>
          <w:rtl w:val="0"/>
        </w:rPr>
      </w:r>
    </w:p>
    <w:p w:rsidR="00000000" w:rsidDel="00000000" w:rsidP="00000000" w:rsidRDefault="00000000" w:rsidRPr="00000000" w14:paraId="00000012">
      <w:pPr>
        <w:pageBreakBefore w:val="0"/>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pageBreakBefore w:val="0"/>
        <w:spacing w:line="4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Number of words:</w:t>
      </w:r>
    </w:p>
    <w:p w:rsidR="00000000" w:rsidDel="00000000" w:rsidP="00000000" w:rsidRDefault="00000000" w:rsidRPr="00000000" w14:paraId="00000014">
      <w:pPr>
        <w:pageBreakBefore w:val="0"/>
        <w:spacing w:line="480" w:lineRule="auto"/>
        <w:rPr>
          <w:rFonts w:ascii="Arial" w:cs="Arial" w:eastAsia="Arial" w:hAnsi="Arial"/>
          <w:sz w:val="22"/>
          <w:szCs w:val="22"/>
        </w:rPr>
      </w:pPr>
      <w:r w:rsidDel="00000000" w:rsidR="00000000" w:rsidRPr="00000000">
        <w:rPr>
          <w:rFonts w:ascii="Arial" w:cs="Arial" w:eastAsia="Arial" w:hAnsi="Arial"/>
          <w:sz w:val="22"/>
          <w:szCs w:val="22"/>
          <w:vertAlign w:val="superscript"/>
          <w:rtl w:val="0"/>
        </w:rPr>
        <w:t xml:space="preserve">1 </w:t>
      </w:r>
      <w:r w:rsidDel="00000000" w:rsidR="00000000" w:rsidRPr="00000000">
        <w:rPr>
          <w:rFonts w:ascii="Arial" w:cs="Arial" w:eastAsia="Arial" w:hAnsi="Arial"/>
          <w:sz w:val="22"/>
          <w:szCs w:val="22"/>
          <w:rtl w:val="0"/>
        </w:rPr>
        <w:t xml:space="preserve">Manuscript received _______; revision accepted _______. </w:t>
      </w:r>
    </w:p>
    <w:p w:rsidR="00000000" w:rsidDel="00000000" w:rsidP="00000000" w:rsidRDefault="00000000" w:rsidRPr="00000000" w14:paraId="00000015">
      <w:pPr>
        <w:pageBreakBefore w:val="0"/>
        <w:spacing w:line="480" w:lineRule="auto"/>
        <w:rPr>
          <w:rFonts w:ascii="Arial" w:cs="Arial" w:eastAsia="Arial" w:hAnsi="Arial"/>
          <w:sz w:val="22"/>
          <w:szCs w:val="22"/>
        </w:rPr>
      </w:pPr>
      <w:r w:rsidDel="00000000" w:rsidR="00000000" w:rsidRPr="00000000">
        <w:rPr>
          <w:rFonts w:ascii="Arial" w:cs="Arial" w:eastAsia="Arial" w:hAnsi="Arial"/>
          <w:sz w:val="22"/>
          <w:szCs w:val="22"/>
          <w:vertAlign w:val="superscript"/>
          <w:rtl w:val="0"/>
        </w:rPr>
        <w:t xml:space="preserve">6 </w:t>
      </w:r>
      <w:r w:rsidDel="00000000" w:rsidR="00000000" w:rsidRPr="00000000">
        <w:rPr>
          <w:rFonts w:ascii="Arial" w:cs="Arial" w:eastAsia="Arial" w:hAnsi="Arial"/>
          <w:sz w:val="22"/>
          <w:szCs w:val="22"/>
          <w:rtl w:val="0"/>
        </w:rPr>
        <w:t xml:space="preserve">Author for correspondence: </w:t>
      </w:r>
      <w:hyperlink r:id="rId10">
        <w:r w:rsidDel="00000000" w:rsidR="00000000" w:rsidRPr="00000000">
          <w:rPr>
            <w:rFonts w:ascii="Arial" w:cs="Arial" w:eastAsia="Arial" w:hAnsi="Arial"/>
            <w:color w:val="0000ff"/>
            <w:sz w:val="22"/>
            <w:szCs w:val="22"/>
            <w:u w:val="single"/>
            <w:rtl w:val="0"/>
          </w:rPr>
          <w:t xml:space="preserve">chandra.jack@gmail.com</w:t>
        </w:r>
      </w:hyperlink>
      <w:r w:rsidDel="00000000" w:rsidR="00000000" w:rsidRPr="00000000">
        <w:rPr>
          <w:rtl w:val="0"/>
        </w:rPr>
      </w:r>
    </w:p>
    <w:p w:rsidR="00000000" w:rsidDel="00000000" w:rsidP="00000000" w:rsidRDefault="00000000" w:rsidRPr="00000000" w14:paraId="00000016">
      <w:pPr>
        <w:pageBreakBefore w:val="0"/>
        <w:spacing w:line="48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7">
      <w:pPr>
        <w:pageBreakBefore w:val="0"/>
        <w:spacing w:line="480"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8">
      <w:pPr>
        <w:pageBreakBefore w:val="0"/>
        <w:spacing w:line="480"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9">
      <w:pPr>
        <w:pageBreakBefore w:val="0"/>
        <w:spacing w:line="480"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A">
      <w:pPr>
        <w:pageBreakBefore w:val="0"/>
        <w:spacing w:line="480"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B">
      <w:pPr>
        <w:pageBreakBefore w:val="0"/>
        <w:spacing w:line="48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ABSTRACT </w:t>
      </w:r>
    </w:p>
    <w:p w:rsidR="00000000" w:rsidDel="00000000" w:rsidP="00000000" w:rsidRDefault="00000000" w:rsidRPr="00000000" w14:paraId="0000001C">
      <w:pPr>
        <w:pageBreakBefore w:val="0"/>
        <w:spacing w:line="480" w:lineRule="auto"/>
        <w:rPr>
          <w:rFonts w:ascii="Arial" w:cs="Arial" w:eastAsia="Arial" w:hAnsi="Arial"/>
          <w:color w:val="000000"/>
          <w:sz w:val="22"/>
          <w:szCs w:val="22"/>
        </w:rPr>
      </w:pPr>
      <w:r w:rsidDel="00000000" w:rsidR="00000000" w:rsidRPr="00000000">
        <w:rPr>
          <w:rFonts w:ascii="Arial" w:cs="Arial" w:eastAsia="Arial" w:hAnsi="Arial"/>
          <w:i w:val="1"/>
          <w:sz w:val="22"/>
          <w:szCs w:val="22"/>
          <w:rtl w:val="0"/>
        </w:rPr>
        <w:t xml:space="preserve">Premise of the study: </w:t>
      </w:r>
      <w:r w:rsidDel="00000000" w:rsidR="00000000" w:rsidRPr="00000000">
        <w:rPr>
          <w:rFonts w:ascii="Arial" w:cs="Arial" w:eastAsia="Arial" w:hAnsi="Arial"/>
          <w:color w:val="000000"/>
          <w:sz w:val="22"/>
          <w:szCs w:val="22"/>
          <w:rtl w:val="0"/>
        </w:rPr>
        <w:t xml:space="preserve">Current methods for quantifying herbivore-caused </w:t>
      </w:r>
      <w:r w:rsidDel="00000000" w:rsidR="00000000" w:rsidRPr="00000000">
        <w:rPr>
          <w:rFonts w:ascii="Arial" w:cs="Arial" w:eastAsia="Arial" w:hAnsi="Arial"/>
          <w:color w:val="000000"/>
          <w:sz w:val="22"/>
          <w:szCs w:val="22"/>
          <w:highlight w:val="white"/>
          <w:rtl w:val="0"/>
        </w:rPr>
        <w:t xml:space="preserve">alterations in plant biochemistry </w:t>
      </w:r>
      <w:r w:rsidDel="00000000" w:rsidR="00000000" w:rsidRPr="00000000">
        <w:rPr>
          <w:rFonts w:ascii="Arial" w:cs="Arial" w:eastAsia="Arial" w:hAnsi="Arial"/>
          <w:color w:val="000000"/>
          <w:sz w:val="22"/>
          <w:szCs w:val="22"/>
          <w:rtl w:val="0"/>
        </w:rPr>
        <w:t xml:space="preserve">are expensive, time</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000000"/>
          <w:sz w:val="22"/>
          <w:szCs w:val="22"/>
          <w:rtl w:val="0"/>
        </w:rPr>
        <w:t xml:space="preserve">consuming, and require large</w:t>
      </w:r>
      <w:r w:rsidDel="00000000" w:rsidR="00000000" w:rsidRPr="00000000">
        <w:rPr>
          <w:rFonts w:ascii="Arial" w:cs="Arial" w:eastAsia="Arial" w:hAnsi="Arial"/>
          <w:sz w:val="22"/>
          <w:szCs w:val="22"/>
          <w:rtl w:val="0"/>
        </w:rPr>
        <w:t xml:space="preserve"> tissue</w:t>
      </w:r>
      <w:r w:rsidDel="00000000" w:rsidR="00000000" w:rsidRPr="00000000">
        <w:rPr>
          <w:rFonts w:ascii="Arial" w:cs="Arial" w:eastAsia="Arial" w:hAnsi="Arial"/>
          <w:color w:val="000000"/>
          <w:sz w:val="22"/>
          <w:szCs w:val="22"/>
          <w:rtl w:val="0"/>
        </w:rPr>
        <w:t xml:space="preserve"> amounts. We present a cost-effective, high-throughput protocol to quantify multiple biochemical responses from small plant tissue samples</w:t>
      </w:r>
      <w:r w:rsidDel="00000000" w:rsidR="00000000" w:rsidRPr="00000000">
        <w:rPr>
          <w:rFonts w:ascii="Arial" w:cs="Arial" w:eastAsia="Arial" w:hAnsi="Arial"/>
          <w:sz w:val="22"/>
          <w:szCs w:val="22"/>
          <w:rtl w:val="0"/>
        </w:rPr>
        <w:t xml:space="preserve"> using spectrophotometric techniques.</w:t>
      </w:r>
      <w:r w:rsidDel="00000000" w:rsidR="00000000" w:rsidRPr="00000000">
        <w:rPr>
          <w:rtl w:val="0"/>
        </w:rPr>
      </w:r>
    </w:p>
    <w:p w:rsidR="00000000" w:rsidDel="00000000" w:rsidP="00000000" w:rsidRDefault="00000000" w:rsidRPr="00000000" w14:paraId="0000001D">
      <w:pPr>
        <w:pageBreakBefore w:val="0"/>
        <w:spacing w:line="480" w:lineRule="auto"/>
        <w:rPr>
          <w:rFonts w:ascii="Arial" w:cs="Arial" w:eastAsia="Arial" w:hAnsi="Arial"/>
          <w:sz w:val="22"/>
          <w:szCs w:val="22"/>
        </w:rPr>
      </w:pPr>
      <w:r w:rsidDel="00000000" w:rsidR="00000000" w:rsidRPr="00000000">
        <w:rPr>
          <w:rFonts w:ascii="Arial" w:cs="Arial" w:eastAsia="Arial" w:hAnsi="Arial"/>
          <w:i w:val="1"/>
          <w:sz w:val="22"/>
          <w:szCs w:val="22"/>
          <w:rtl w:val="0"/>
        </w:rPr>
        <w:t xml:space="preserve">Methods and Results: </w:t>
      </w:r>
      <w:r w:rsidDel="00000000" w:rsidR="00000000" w:rsidRPr="00000000">
        <w:rPr>
          <w:rFonts w:ascii="Arial" w:cs="Arial" w:eastAsia="Arial" w:hAnsi="Arial"/>
          <w:color w:val="000000"/>
          <w:sz w:val="22"/>
          <w:szCs w:val="22"/>
          <w:rtl w:val="0"/>
        </w:rPr>
        <w:t xml:space="preserve">Using </w:t>
      </w:r>
      <w:r w:rsidDel="00000000" w:rsidR="00000000" w:rsidRPr="00000000">
        <w:rPr>
          <w:rFonts w:ascii="Arial" w:cs="Arial" w:eastAsia="Arial" w:hAnsi="Arial"/>
          <w:i w:val="1"/>
          <w:color w:val="000000"/>
          <w:sz w:val="22"/>
          <w:szCs w:val="22"/>
          <w:rtl w:val="0"/>
        </w:rPr>
        <w:t xml:space="preserve">Solanum lycopersicum</w:t>
      </w:r>
      <w:r w:rsidDel="00000000" w:rsidR="00000000" w:rsidRPr="00000000">
        <w:rPr>
          <w:rFonts w:ascii="Arial" w:cs="Arial" w:eastAsia="Arial" w:hAnsi="Arial"/>
          <w:color w:val="000000"/>
          <w:sz w:val="22"/>
          <w:szCs w:val="22"/>
          <w:rtl w:val="0"/>
        </w:rPr>
        <w:t xml:space="preserve"> and </w:t>
      </w:r>
      <w:r w:rsidDel="00000000" w:rsidR="00000000" w:rsidRPr="00000000">
        <w:rPr>
          <w:rFonts w:ascii="Arial" w:cs="Arial" w:eastAsia="Arial" w:hAnsi="Arial"/>
          <w:i w:val="1"/>
          <w:color w:val="000000"/>
          <w:sz w:val="22"/>
          <w:szCs w:val="22"/>
          <w:rtl w:val="0"/>
        </w:rPr>
        <w:t xml:space="preserve">Medicago polymorpha</w:t>
      </w:r>
      <w:r w:rsidDel="00000000" w:rsidR="00000000" w:rsidRPr="00000000">
        <w:rPr>
          <w:rFonts w:ascii="Arial" w:cs="Arial" w:eastAsia="Arial" w:hAnsi="Arial"/>
          <w:color w:val="000000"/>
          <w:sz w:val="22"/>
          <w:szCs w:val="22"/>
          <w:rtl w:val="0"/>
        </w:rPr>
        <w:t xml:space="preserve"> leaves pre- and post-herbivory, we </w:t>
      </w:r>
      <w:r w:rsidDel="00000000" w:rsidR="00000000" w:rsidRPr="00000000">
        <w:rPr>
          <w:rFonts w:ascii="Arial" w:cs="Arial" w:eastAsia="Arial" w:hAnsi="Arial"/>
          <w:sz w:val="22"/>
          <w:szCs w:val="22"/>
          <w:rtl w:val="0"/>
        </w:rPr>
        <w:t xml:space="preserve">demonstrate</w:t>
      </w:r>
      <w:r w:rsidDel="00000000" w:rsidR="00000000" w:rsidRPr="00000000">
        <w:rPr>
          <w:rFonts w:ascii="Arial" w:cs="Arial" w:eastAsia="Arial" w:hAnsi="Arial"/>
          <w:color w:val="000000"/>
          <w:sz w:val="22"/>
          <w:szCs w:val="22"/>
          <w:rtl w:val="0"/>
        </w:rPr>
        <w:t xml:space="preserve"> that our protocol quantif</w:t>
      </w:r>
      <w:r w:rsidDel="00000000" w:rsidR="00000000" w:rsidRPr="00000000">
        <w:rPr>
          <w:rFonts w:ascii="Arial" w:cs="Arial" w:eastAsia="Arial" w:hAnsi="Arial"/>
          <w:sz w:val="22"/>
          <w:szCs w:val="22"/>
          <w:rtl w:val="0"/>
        </w:rPr>
        <w:t xml:space="preserve">ies</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common</w:t>
      </w:r>
      <w:r w:rsidDel="00000000" w:rsidR="00000000" w:rsidRPr="00000000">
        <w:rPr>
          <w:rFonts w:ascii="Arial" w:cs="Arial" w:eastAsia="Arial" w:hAnsi="Arial"/>
          <w:color w:val="000000"/>
          <w:sz w:val="22"/>
          <w:szCs w:val="22"/>
          <w:rtl w:val="0"/>
        </w:rPr>
        <w:t xml:space="preserve"> plant defense responses: peroxidase production, polyphenol oxidase production, </w:t>
      </w:r>
      <w:r w:rsidDel="00000000" w:rsidR="00000000" w:rsidRPr="00000000">
        <w:rPr>
          <w:rFonts w:ascii="Arial" w:cs="Arial" w:eastAsia="Arial" w:hAnsi="Arial"/>
          <w:sz w:val="22"/>
          <w:szCs w:val="22"/>
          <w:rtl w:val="0"/>
        </w:rPr>
        <w:t xml:space="preserve">reactive oxygen species</w:t>
      </w:r>
      <w:r w:rsidDel="00000000" w:rsidR="00000000" w:rsidRPr="00000000">
        <w:rPr>
          <w:rFonts w:ascii="Arial" w:cs="Arial" w:eastAsia="Arial" w:hAnsi="Arial"/>
          <w:color w:val="000000"/>
          <w:sz w:val="22"/>
          <w:szCs w:val="22"/>
          <w:rtl w:val="0"/>
        </w:rPr>
        <w:t xml:space="preserve"> production, total protein production, and proteinase inhibition activity. </w:t>
      </w:r>
      <w:r w:rsidDel="00000000" w:rsidR="00000000" w:rsidRPr="00000000">
        <w:rPr>
          <w:rtl w:val="0"/>
        </w:rPr>
      </w:r>
    </w:p>
    <w:p w:rsidR="00000000" w:rsidDel="00000000" w:rsidP="00000000" w:rsidRDefault="00000000" w:rsidRPr="00000000" w14:paraId="0000001E">
      <w:pPr>
        <w:pageBreakBefore w:val="0"/>
        <w:spacing w:line="480" w:lineRule="auto"/>
        <w:rPr>
          <w:rFonts w:ascii="Arial" w:cs="Arial" w:eastAsia="Arial" w:hAnsi="Arial"/>
          <w:color w:val="000000"/>
          <w:sz w:val="22"/>
          <w:szCs w:val="22"/>
        </w:rPr>
      </w:pPr>
      <w:r w:rsidDel="00000000" w:rsidR="00000000" w:rsidRPr="00000000">
        <w:rPr>
          <w:rFonts w:ascii="Arial" w:cs="Arial" w:eastAsia="Arial" w:hAnsi="Arial"/>
          <w:i w:val="1"/>
          <w:sz w:val="22"/>
          <w:szCs w:val="22"/>
          <w:rtl w:val="0"/>
        </w:rPr>
        <w:t xml:space="preserve">Conclusions: </w:t>
      </w:r>
      <w:r w:rsidDel="00000000" w:rsidR="00000000" w:rsidRPr="00000000">
        <w:rPr>
          <w:rFonts w:ascii="Arial" w:cs="Arial" w:eastAsia="Arial" w:hAnsi="Arial"/>
          <w:color w:val="000000"/>
          <w:sz w:val="22"/>
          <w:szCs w:val="22"/>
          <w:rtl w:val="0"/>
        </w:rPr>
        <w:t xml:space="preserve">Current protocols can require 500 mg of tissue, but our assays detect defense activity in under 10 mg. </w:t>
      </w:r>
      <w:r w:rsidDel="00000000" w:rsidR="00000000" w:rsidRPr="00000000">
        <w:rPr>
          <w:rFonts w:ascii="Arial" w:cs="Arial" w:eastAsia="Arial" w:hAnsi="Arial"/>
          <w:sz w:val="22"/>
          <w:szCs w:val="22"/>
          <w:rtl w:val="0"/>
        </w:rPr>
        <w:t xml:space="preserve">O</w:t>
      </w:r>
      <w:r w:rsidDel="00000000" w:rsidR="00000000" w:rsidRPr="00000000">
        <w:rPr>
          <w:rFonts w:ascii="Arial" w:cs="Arial" w:eastAsia="Arial" w:hAnsi="Arial"/>
          <w:color w:val="000000"/>
          <w:sz w:val="22"/>
          <w:szCs w:val="22"/>
          <w:rtl w:val="0"/>
        </w:rPr>
        <w:t xml:space="preserve">ur protocol </w:t>
      </w:r>
      <w:r w:rsidDel="00000000" w:rsidR="00000000" w:rsidRPr="00000000">
        <w:rPr>
          <w:rFonts w:ascii="Arial" w:cs="Arial" w:eastAsia="Arial" w:hAnsi="Arial"/>
          <w:sz w:val="22"/>
          <w:szCs w:val="22"/>
          <w:rtl w:val="0"/>
        </w:rPr>
        <w:t xml:space="preserve">takes two people</w:t>
      </w:r>
      <w:r w:rsidDel="00000000" w:rsidR="00000000" w:rsidRPr="00000000">
        <w:rPr>
          <w:rFonts w:ascii="Arial" w:cs="Arial" w:eastAsia="Arial" w:hAnsi="Arial"/>
          <w:color w:val="000000"/>
          <w:sz w:val="22"/>
          <w:szCs w:val="22"/>
          <w:rtl w:val="0"/>
        </w:rPr>
        <w:t xml:space="preserve"> approximately 6 hours </w:t>
      </w:r>
      <w:r w:rsidDel="00000000" w:rsidR="00000000" w:rsidRPr="00000000">
        <w:rPr>
          <w:rFonts w:ascii="Arial" w:cs="Arial" w:eastAsia="Arial" w:hAnsi="Arial"/>
          <w:sz w:val="22"/>
          <w:szCs w:val="22"/>
          <w:rtl w:val="0"/>
        </w:rPr>
        <w:t xml:space="preserve">to</w:t>
      </w:r>
      <w:r w:rsidDel="00000000" w:rsidR="00000000" w:rsidRPr="00000000">
        <w:rPr>
          <w:rFonts w:ascii="Arial" w:cs="Arial" w:eastAsia="Arial" w:hAnsi="Arial"/>
          <w:color w:val="000000"/>
          <w:sz w:val="22"/>
          <w:szCs w:val="22"/>
          <w:rtl w:val="0"/>
        </w:rPr>
        <w:t xml:space="preserve"> run any of the assays on 300 samples in triplicate, or all of the assays on 20 samples. </w:t>
      </w:r>
      <w:r w:rsidDel="00000000" w:rsidR="00000000" w:rsidRPr="00000000">
        <w:rPr>
          <w:rFonts w:ascii="Arial" w:cs="Arial" w:eastAsia="Arial" w:hAnsi="Arial"/>
          <w:sz w:val="22"/>
          <w:szCs w:val="22"/>
          <w:rtl w:val="0"/>
        </w:rPr>
        <w:t xml:space="preserve">O</w:t>
      </w:r>
      <w:r w:rsidDel="00000000" w:rsidR="00000000" w:rsidRPr="00000000">
        <w:rPr>
          <w:rFonts w:ascii="Arial" w:cs="Arial" w:eastAsia="Arial" w:hAnsi="Arial"/>
          <w:color w:val="000000"/>
          <w:sz w:val="22"/>
          <w:szCs w:val="22"/>
          <w:rtl w:val="0"/>
        </w:rPr>
        <w:t xml:space="preserve">ur protocol enables researchers to plan more complex experiments that compare local versus systemic plant responses, quantify environmental and genetic variation, and measure population level variation.</w:t>
      </w:r>
    </w:p>
    <w:p w:rsidR="00000000" w:rsidDel="00000000" w:rsidP="00000000" w:rsidRDefault="00000000" w:rsidRPr="00000000" w14:paraId="0000001F">
      <w:pPr>
        <w:pageBreakBefore w:val="0"/>
        <w:spacing w:line="48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0">
      <w:pPr>
        <w:pageBreakBefore w:val="0"/>
        <w:spacing w:line="480" w:lineRule="auto"/>
        <w:rPr>
          <w:rFonts w:ascii="Arial" w:cs="Arial" w:eastAsia="Arial" w:hAnsi="Arial"/>
          <w:b w:val="1"/>
          <w:sz w:val="22"/>
          <w:szCs w:val="22"/>
        </w:rPr>
      </w:pPr>
      <w:r w:rsidDel="00000000" w:rsidR="00000000" w:rsidRPr="00000000">
        <w:rPr>
          <w:rFonts w:ascii="Arial" w:cs="Arial" w:eastAsia="Arial" w:hAnsi="Arial"/>
          <w:b w:val="1"/>
          <w:color w:val="000000"/>
          <w:sz w:val="22"/>
          <w:szCs w:val="22"/>
          <w:rtl w:val="0"/>
        </w:rPr>
        <w:t xml:space="preserve">Key words: </w:t>
      </w:r>
      <w:r w:rsidDel="00000000" w:rsidR="00000000" w:rsidRPr="00000000">
        <w:rPr>
          <w:rFonts w:ascii="Arial" w:cs="Arial" w:eastAsia="Arial" w:hAnsi="Arial"/>
          <w:color w:val="000000"/>
          <w:sz w:val="22"/>
          <w:szCs w:val="22"/>
          <w:rtl w:val="0"/>
        </w:rPr>
        <w:t xml:space="preserve">Microplate</w:t>
      </w:r>
      <w:r w:rsidDel="00000000" w:rsidR="00000000" w:rsidRPr="00000000">
        <w:rPr>
          <w:rFonts w:ascii="Arial" w:cs="Arial" w:eastAsia="Arial" w:hAnsi="Arial"/>
          <w:color w:val="000000"/>
          <w:sz w:val="22"/>
          <w:szCs w:val="22"/>
          <w:rtl w:val="0"/>
        </w:rPr>
        <w:t xml:space="preserve">; Plant Defense Response; Peroxidase; Polyphenol oxidase; Protease Inhibitors; Protein Quantification </w:t>
      </w:r>
      <w:r w:rsidDel="00000000" w:rsidR="00000000" w:rsidRPr="00000000">
        <w:rPr>
          <w:rtl w:val="0"/>
        </w:rPr>
      </w:r>
    </w:p>
    <w:p w:rsidR="00000000" w:rsidDel="00000000" w:rsidP="00000000" w:rsidRDefault="00000000" w:rsidRPr="00000000" w14:paraId="00000021">
      <w:pPr>
        <w:pageBreakBefore w:val="0"/>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pageBreakBefore w:val="0"/>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pageBreakBefore w:val="0"/>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pageBreakBefore w:val="0"/>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pageBreakBefore w:val="0"/>
        <w:spacing w:line="480" w:lineRule="auto"/>
        <w:jc w:val="center"/>
        <w:rPr>
          <w:rFonts w:ascii="Arial" w:cs="Arial" w:eastAsia="Arial" w:hAnsi="Arial"/>
          <w:i w:val="1"/>
          <w:sz w:val="22"/>
          <w:szCs w:val="22"/>
        </w:rPr>
      </w:pPr>
      <w:r w:rsidDel="00000000" w:rsidR="00000000" w:rsidRPr="00000000">
        <w:rPr>
          <w:rFonts w:ascii="Arial" w:cs="Arial" w:eastAsia="Arial" w:hAnsi="Arial"/>
          <w:b w:val="1"/>
          <w:color w:val="000000"/>
          <w:sz w:val="22"/>
          <w:szCs w:val="22"/>
          <w:rtl w:val="0"/>
        </w:rPr>
        <w:t xml:space="preserve">INTRODUCTION </w:t>
      </w:r>
      <w:r w:rsidDel="00000000" w:rsidR="00000000" w:rsidRPr="00000000">
        <w:rPr>
          <w:rtl w:val="0"/>
        </w:rPr>
      </w:r>
    </w:p>
    <w:p w:rsidR="00000000" w:rsidDel="00000000" w:rsidP="00000000" w:rsidRDefault="00000000" w:rsidRPr="00000000" w14:paraId="00000026">
      <w:pPr>
        <w:pageBreakBefore w:val="0"/>
        <w:spacing w:line="480" w:lineRule="auto"/>
        <w:ind w:left="0" w:firstLine="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The ability to quantify plant molecular response</w:t>
      </w:r>
      <w:r w:rsidDel="00000000" w:rsidR="00000000" w:rsidRPr="00000000">
        <w:rPr>
          <w:rFonts w:ascii="Arial" w:cs="Arial" w:eastAsia="Arial" w:hAnsi="Arial"/>
          <w:sz w:val="22"/>
          <w:szCs w:val="22"/>
          <w:rtl w:val="0"/>
        </w:rPr>
        <w:t xml:space="preserve">s to herbivory</w:t>
      </w:r>
      <w:r w:rsidDel="00000000" w:rsidR="00000000" w:rsidRPr="00000000">
        <w:rPr>
          <w:rFonts w:ascii="Arial" w:cs="Arial" w:eastAsia="Arial" w:hAnsi="Arial"/>
          <w:color w:val="000000"/>
          <w:sz w:val="22"/>
          <w:szCs w:val="22"/>
          <w:rtl w:val="0"/>
        </w:rPr>
        <w:t xml:space="preserve"> over time and compare variation within populations is useful in many research areas from ecology and evolutionary biology to applied agricultural research. Unfortuna</w:t>
      </w:r>
      <w:r w:rsidDel="00000000" w:rsidR="00000000" w:rsidRPr="00000000">
        <w:rPr>
          <w:rFonts w:ascii="Arial" w:cs="Arial" w:eastAsia="Arial" w:hAnsi="Arial"/>
          <w:sz w:val="22"/>
          <w:szCs w:val="22"/>
          <w:rtl w:val="0"/>
        </w:rPr>
        <w:t xml:space="preserve">tely, current methods are expensive, time consuming, and typically require large tissue masses.</w:t>
      </w:r>
      <w:r w:rsidDel="00000000" w:rsidR="00000000" w:rsidRPr="00000000">
        <w:rPr>
          <w:rFonts w:ascii="Arial" w:cs="Arial" w:eastAsia="Arial" w:hAnsi="Arial"/>
          <w:color w:val="000000"/>
          <w:sz w:val="22"/>
          <w:szCs w:val="22"/>
          <w:rtl w:val="0"/>
        </w:rPr>
        <w:t xml:space="preserve"> However, like many attempts to assay molecular responses, research is limited by the rigorous nature of quantifying subtle physiological changes. Previously developed assays are thus effective but unusable by many researchers due to financial constraints </w:t>
      </w:r>
      <w:r w:rsidDel="00000000" w:rsidR="00000000" w:rsidRPr="00000000">
        <w:rPr>
          <w:rFonts w:ascii="Arial" w:cs="Arial" w:eastAsia="Arial" w:hAnsi="Arial"/>
          <w:sz w:val="22"/>
          <w:szCs w:val="22"/>
          <w:rtl w:val="0"/>
        </w:rPr>
        <w:t xml:space="preserve">(i.e. lack of access to spectrophotometers or large quantities of reagents) </w:t>
      </w:r>
      <w:r w:rsidDel="00000000" w:rsidR="00000000" w:rsidRPr="00000000">
        <w:rPr>
          <w:rFonts w:ascii="Arial" w:cs="Arial" w:eastAsia="Arial" w:hAnsi="Arial"/>
          <w:color w:val="000000"/>
          <w:sz w:val="22"/>
          <w:szCs w:val="22"/>
          <w:rtl w:val="0"/>
        </w:rPr>
        <w:t xml:space="preserve">or the need to conduct a given assay on a large set of samples. These constraints have been recognized and addressed in some instances, such as protein quantification [1]. With the development and widespread use of microplate readers, some assays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000000"/>
          <w:sz w:val="22"/>
          <w:szCs w:val="22"/>
          <w:rtl w:val="0"/>
        </w:rPr>
        <w:t xml:space="preserve">such as protease inhibition and protein quantification, have been scaled and optimized for smaller </w:t>
      </w:r>
      <w:r w:rsidDel="00000000" w:rsidR="00000000" w:rsidRPr="00000000">
        <w:rPr>
          <w:rFonts w:ascii="Arial" w:cs="Arial" w:eastAsia="Arial" w:hAnsi="Arial"/>
          <w:sz w:val="22"/>
          <w:szCs w:val="22"/>
          <w:rtl w:val="0"/>
        </w:rPr>
        <w:t xml:space="preserve">reaction</w:t>
      </w:r>
      <w:r w:rsidDel="00000000" w:rsidR="00000000" w:rsidRPr="00000000">
        <w:rPr>
          <w:rFonts w:ascii="Arial" w:cs="Arial" w:eastAsia="Arial" w:hAnsi="Arial"/>
          <w:color w:val="000000"/>
          <w:sz w:val="22"/>
          <w:szCs w:val="22"/>
          <w:rtl w:val="0"/>
        </w:rPr>
        <w:t xml:space="preserve"> volumes and larger sample numbers resulting in better replication [1, </w:t>
      </w:r>
      <w:r w:rsidDel="00000000" w:rsidR="00000000" w:rsidRPr="00000000">
        <w:rPr>
          <w:rFonts w:ascii="Arial" w:cs="Arial" w:eastAsia="Arial" w:hAnsi="Arial"/>
          <w:sz w:val="22"/>
          <w:szCs w:val="22"/>
          <w:rtl w:val="0"/>
        </w:rPr>
        <w:t xml:space="preserve">2</w:t>
      </w: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14:paraId="00000027">
      <w:pPr>
        <w:pageBreakBefore w:val="0"/>
        <w:spacing w:line="480" w:lineRule="auto"/>
        <w:ind w:left="0" w:firstLine="72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Assaying multiple responses on individual samples is critical for understanding host responses since many defense responses are interrelated. A prime example of this is the direct relationship between reactive oxygen species production and the induction of peroxidases. Peroxidases such as glutathione peroxidase reduce hydrogen peroxide (H</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O</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vertAlign w:val="subscript"/>
          <w:rtl w:val="0"/>
        </w:rPr>
        <w:t xml:space="preserve"> </w:t>
      </w:r>
      <w:r w:rsidDel="00000000" w:rsidR="00000000" w:rsidRPr="00000000">
        <w:rPr>
          <w:rFonts w:ascii="Arial" w:cs="Arial" w:eastAsia="Arial" w:hAnsi="Arial"/>
          <w:color w:val="000000"/>
          <w:sz w:val="22"/>
          <w:szCs w:val="22"/>
          <w:rtl w:val="0"/>
        </w:rPr>
        <w:t xml:space="preserve">and are induced in response to high levels of H</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O</w:t>
      </w:r>
      <w:r w:rsidDel="00000000" w:rsidR="00000000" w:rsidRPr="00000000">
        <w:rPr>
          <w:rFonts w:ascii="Arial" w:cs="Arial" w:eastAsia="Arial" w:hAnsi="Arial"/>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 and catalyze the oxidation of other molecules [</w:t>
      </w:r>
      <w:r w:rsidDel="00000000" w:rsidR="00000000" w:rsidRPr="00000000">
        <w:rPr>
          <w:rFonts w:ascii="Arial" w:cs="Arial" w:eastAsia="Arial" w:hAnsi="Arial"/>
          <w:sz w:val="22"/>
          <w:szCs w:val="22"/>
          <w:rtl w:val="0"/>
        </w:rPr>
        <w:t xml:space="preserve">3</w:t>
      </w:r>
      <w:r w:rsidDel="00000000" w:rsidR="00000000" w:rsidRPr="00000000">
        <w:rPr>
          <w:rFonts w:ascii="Arial" w:cs="Arial" w:eastAsia="Arial" w:hAnsi="Arial"/>
          <w:color w:val="000000"/>
          <w:sz w:val="22"/>
          <w:szCs w:val="22"/>
          <w:rtl w:val="0"/>
        </w:rPr>
        <w:t xml:space="preserve">]; measuring both peroxide and peroxidase in the same sample thus gives additional insight into this cellular process. </w:t>
      </w:r>
      <w:r w:rsidDel="00000000" w:rsidR="00000000" w:rsidRPr="00000000">
        <w:rPr>
          <w:rFonts w:ascii="Arial" w:cs="Arial" w:eastAsia="Arial" w:hAnsi="Arial"/>
          <w:sz w:val="22"/>
          <w:szCs w:val="22"/>
          <w:rtl w:val="0"/>
        </w:rPr>
        <w:t xml:space="preserve">Additionally, r</w:t>
      </w:r>
      <w:r w:rsidDel="00000000" w:rsidR="00000000" w:rsidRPr="00000000">
        <w:rPr>
          <w:rFonts w:ascii="Arial" w:cs="Arial" w:eastAsia="Arial" w:hAnsi="Arial"/>
          <w:color w:val="000000"/>
          <w:sz w:val="22"/>
          <w:szCs w:val="22"/>
          <w:rtl w:val="0"/>
        </w:rPr>
        <w:t xml:space="preserve">educing the total amount of tissue required for an expanded array of assays enables researchers to perform both small molecule and enzymatic assays during a given investigation by allowing two sep</w:t>
      </w:r>
      <w:r w:rsidDel="00000000" w:rsidR="00000000" w:rsidRPr="00000000">
        <w:rPr>
          <w:rFonts w:ascii="Arial" w:cs="Arial" w:eastAsia="Arial" w:hAnsi="Arial"/>
          <w:sz w:val="22"/>
          <w:szCs w:val="22"/>
          <w:rtl w:val="0"/>
        </w:rPr>
        <w:t xml:space="preserve">arate extraction buffers to be used resulting in smaller amounts of tissue being assayed in more ways.</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This</w:t>
      </w:r>
      <w:r w:rsidDel="00000000" w:rsidR="00000000" w:rsidRPr="00000000">
        <w:rPr>
          <w:rFonts w:ascii="Arial" w:cs="Arial" w:eastAsia="Arial" w:hAnsi="Arial"/>
          <w:color w:val="000000"/>
          <w:sz w:val="22"/>
          <w:szCs w:val="22"/>
          <w:rtl w:val="0"/>
        </w:rPr>
        <w:t xml:space="preserve"> allows complex responses across large numbers of individuals to be analyzed within a single experiment. Early methods of protein quantification such as the Bradford method and the Lowry method were dependent on the use of a spectrophotometer and thus large sample volumes [</w:t>
      </w:r>
      <w:r w:rsidDel="00000000" w:rsidR="00000000" w:rsidRPr="00000000">
        <w:rPr>
          <w:rFonts w:ascii="Arial" w:cs="Arial" w:eastAsia="Arial" w:hAnsi="Arial"/>
          <w:sz w:val="22"/>
          <w:szCs w:val="22"/>
          <w:rtl w:val="0"/>
        </w:rPr>
        <w:t xml:space="preserve">4</w:t>
      </w:r>
      <w:r w:rsidDel="00000000" w:rsidR="00000000" w:rsidRPr="00000000">
        <w:rPr>
          <w:rFonts w:ascii="Arial" w:cs="Arial" w:eastAsia="Arial" w:hAnsi="Arial"/>
          <w:color w:val="000000"/>
          <w:sz w:val="22"/>
          <w:szCs w:val="22"/>
          <w:rtl w:val="0"/>
        </w:rPr>
        <w:t xml:space="preserve">]. Currently, assaying for the production of small molecules requires severe buffering conditions that both inhibit and degrade proteins present in suspended tissue samples due to the presence of compounds such as trichloroacetic acid, </w:t>
      </w:r>
      <w:r w:rsidDel="00000000" w:rsidR="00000000" w:rsidRPr="00000000">
        <w:rPr>
          <w:rFonts w:ascii="Arial" w:cs="Arial" w:eastAsia="Arial" w:hAnsi="Arial"/>
          <w:sz w:val="22"/>
          <w:szCs w:val="22"/>
          <w:rtl w:val="0"/>
        </w:rPr>
        <w:t xml:space="preserve">which </w:t>
      </w:r>
      <w:r w:rsidDel="00000000" w:rsidR="00000000" w:rsidRPr="00000000">
        <w:rPr>
          <w:rFonts w:ascii="Arial" w:cs="Arial" w:eastAsia="Arial" w:hAnsi="Arial"/>
          <w:color w:val="000000"/>
          <w:sz w:val="22"/>
          <w:szCs w:val="22"/>
          <w:rtl w:val="0"/>
        </w:rPr>
        <w:t xml:space="preserve">causes protein precipitation [</w:t>
      </w:r>
      <w:r w:rsidDel="00000000" w:rsidR="00000000" w:rsidRPr="00000000">
        <w:rPr>
          <w:rFonts w:ascii="Arial" w:cs="Arial" w:eastAsia="Arial" w:hAnsi="Arial"/>
          <w:sz w:val="22"/>
          <w:szCs w:val="22"/>
          <w:rtl w:val="0"/>
        </w:rPr>
        <w:t xml:space="preserve">5</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sz w:val="22"/>
          <w:szCs w:val="22"/>
          <w:rtl w:val="0"/>
        </w:rPr>
        <w:t xml:space="preserve"> preventing the use of a single buffer. </w:t>
      </w:r>
      <w:r w:rsidDel="00000000" w:rsidR="00000000" w:rsidRPr="00000000">
        <w:rPr>
          <w:rFonts w:ascii="Arial" w:cs="Arial" w:eastAsia="Arial" w:hAnsi="Arial"/>
          <w:color w:val="000000"/>
          <w:sz w:val="22"/>
          <w:szCs w:val="22"/>
          <w:rtl w:val="0"/>
        </w:rPr>
        <w:t xml:space="preserve">Additionally, as with protein</w:t>
      </w:r>
      <w:r w:rsidDel="00000000" w:rsidR="00000000" w:rsidRPr="00000000">
        <w:rPr>
          <w:rFonts w:ascii="Arial" w:cs="Arial" w:eastAsia="Arial" w:hAnsi="Arial"/>
          <w:sz w:val="22"/>
          <w:szCs w:val="22"/>
          <w:rtl w:val="0"/>
        </w:rPr>
        <w:t xml:space="preserve">-based assays, </w:t>
      </w:r>
      <w:r w:rsidDel="00000000" w:rsidR="00000000" w:rsidRPr="00000000">
        <w:rPr>
          <w:rFonts w:ascii="Arial" w:cs="Arial" w:eastAsia="Arial" w:hAnsi="Arial"/>
          <w:color w:val="000000"/>
          <w:sz w:val="22"/>
          <w:szCs w:val="22"/>
          <w:rtl w:val="0"/>
        </w:rPr>
        <w:t xml:space="preserve">the large sample masses required as a result of large reaction v</w:t>
      </w:r>
      <w:r w:rsidDel="00000000" w:rsidR="00000000" w:rsidRPr="00000000">
        <w:rPr>
          <w:rFonts w:ascii="Arial" w:cs="Arial" w:eastAsia="Arial" w:hAnsi="Arial"/>
          <w:sz w:val="22"/>
          <w:szCs w:val="22"/>
          <w:rtl w:val="0"/>
        </w:rPr>
        <w:t xml:space="preserve">olumes </w:t>
      </w:r>
      <w:r w:rsidDel="00000000" w:rsidR="00000000" w:rsidRPr="00000000">
        <w:rPr>
          <w:rFonts w:ascii="Arial" w:cs="Arial" w:eastAsia="Arial" w:hAnsi="Arial"/>
          <w:color w:val="000000"/>
          <w:sz w:val="22"/>
          <w:szCs w:val="22"/>
          <w:rtl w:val="0"/>
        </w:rPr>
        <w:t xml:space="preserve">for current spectrophotometric techniques limits the total number of technical replications and assays that can be performed on a given sample. These problems ultimately result in researchers assaying single physiological changes induced by herbivory as a metric for general herbivory responses. Paired together, assaying both small molecule production and enzyme production would allow for a more holistic assessment of herbivory-associated plant immunity responses. </w:t>
      </w:r>
    </w:p>
    <w:p w:rsidR="00000000" w:rsidDel="00000000" w:rsidP="00000000" w:rsidRDefault="00000000" w:rsidRPr="00000000" w14:paraId="00000028">
      <w:pPr>
        <w:pageBreakBefore w:val="0"/>
        <w:spacing w:line="480" w:lineRule="auto"/>
        <w:ind w:left="0" w:firstLine="72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Here, we present a cost-effective method to assay multiple molecular responses in </w:t>
      </w:r>
      <w:r w:rsidDel="00000000" w:rsidR="00000000" w:rsidRPr="00000000">
        <w:rPr>
          <w:rFonts w:ascii="Arial" w:cs="Arial" w:eastAsia="Arial" w:hAnsi="Arial"/>
          <w:sz w:val="22"/>
          <w:szCs w:val="22"/>
          <w:rtl w:val="0"/>
        </w:rPr>
        <w:t xml:space="preserve">small</w:t>
      </w:r>
      <w:r w:rsidDel="00000000" w:rsidR="00000000" w:rsidRPr="00000000">
        <w:rPr>
          <w:rFonts w:ascii="Arial" w:cs="Arial" w:eastAsia="Arial" w:hAnsi="Arial"/>
          <w:color w:val="000000"/>
          <w:sz w:val="22"/>
          <w:szCs w:val="22"/>
          <w:rtl w:val="0"/>
        </w:rPr>
        <w:t xml:space="preserve"> sample masses (Appendix 1). The assays include total protein content, peroxidase, polyphenol oxidase, H</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O</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 and protease inhibitors. Many defense responses can be assayed individually </w:t>
      </w:r>
      <w:r w:rsidDel="00000000" w:rsidR="00000000" w:rsidRPr="00000000">
        <w:rPr>
          <w:rFonts w:ascii="Arial" w:cs="Arial" w:eastAsia="Arial" w:hAnsi="Arial"/>
          <w:sz w:val="22"/>
          <w:szCs w:val="22"/>
          <w:rtl w:val="0"/>
        </w:rPr>
        <w:t xml:space="preserve">,but</w:t>
      </w:r>
      <w:r w:rsidDel="00000000" w:rsidR="00000000" w:rsidRPr="00000000">
        <w:rPr>
          <w:rFonts w:ascii="Arial" w:cs="Arial" w:eastAsia="Arial" w:hAnsi="Arial"/>
          <w:color w:val="000000"/>
          <w:sz w:val="22"/>
          <w:szCs w:val="22"/>
          <w:rtl w:val="0"/>
        </w:rPr>
        <w:t xml:space="preserve"> require diverse tissue extraction methods that are mutually exclusive. For our purposes, we selected induced responses that were both diverse and able to be assayed from a common sample extract. We tested our method on leaves taken from </w:t>
      </w:r>
      <w:r w:rsidDel="00000000" w:rsidR="00000000" w:rsidRPr="00000000">
        <w:rPr>
          <w:rFonts w:ascii="Arial" w:cs="Arial" w:eastAsia="Arial" w:hAnsi="Arial"/>
          <w:i w:val="1"/>
          <w:color w:val="000000"/>
          <w:sz w:val="22"/>
          <w:szCs w:val="22"/>
          <w:rtl w:val="0"/>
        </w:rPr>
        <w:t xml:space="preserve">Solanum lycopersicum</w:t>
      </w:r>
      <w:r w:rsidDel="00000000" w:rsidR="00000000" w:rsidRPr="00000000">
        <w:rPr>
          <w:rFonts w:ascii="Arial" w:cs="Arial" w:eastAsia="Arial" w:hAnsi="Arial"/>
          <w:color w:val="000000"/>
          <w:sz w:val="22"/>
          <w:szCs w:val="22"/>
          <w:rtl w:val="0"/>
        </w:rPr>
        <w:t xml:space="preserve"> pre- and post-herbivory to show that our assays can quantify differential plant responses. </w:t>
      </w:r>
      <w:r w:rsidDel="00000000" w:rsidR="00000000" w:rsidRPr="00000000">
        <w:rPr>
          <w:rFonts w:ascii="Arial" w:cs="Arial" w:eastAsia="Arial" w:hAnsi="Arial"/>
          <w:i w:val="1"/>
          <w:color w:val="000000"/>
          <w:sz w:val="22"/>
          <w:szCs w:val="22"/>
          <w:rtl w:val="0"/>
        </w:rPr>
        <w:t xml:space="preserve">S. lycopersicum</w:t>
      </w:r>
      <w:r w:rsidDel="00000000" w:rsidR="00000000" w:rsidRPr="00000000">
        <w:rPr>
          <w:rFonts w:ascii="Arial" w:cs="Arial" w:eastAsia="Arial" w:hAnsi="Arial"/>
          <w:color w:val="000000"/>
          <w:sz w:val="22"/>
          <w:szCs w:val="22"/>
          <w:rtl w:val="0"/>
        </w:rPr>
        <w:t xml:space="preserve"> is often used to test biochemical defense responses, which allows us to compare our results to published studies. After validating our assays using </w:t>
      </w:r>
      <w:r w:rsidDel="00000000" w:rsidR="00000000" w:rsidRPr="00000000">
        <w:rPr>
          <w:rFonts w:ascii="Arial" w:cs="Arial" w:eastAsia="Arial" w:hAnsi="Arial"/>
          <w:i w:val="1"/>
          <w:color w:val="000000"/>
          <w:sz w:val="22"/>
          <w:szCs w:val="22"/>
          <w:rtl w:val="0"/>
        </w:rPr>
        <w:t xml:space="preserve">S. lycopersicum, </w:t>
      </w:r>
      <w:r w:rsidDel="00000000" w:rsidR="00000000" w:rsidRPr="00000000">
        <w:rPr>
          <w:rFonts w:ascii="Arial" w:cs="Arial" w:eastAsia="Arial" w:hAnsi="Arial"/>
          <w:color w:val="000000"/>
          <w:sz w:val="22"/>
          <w:szCs w:val="22"/>
          <w:rtl w:val="0"/>
        </w:rPr>
        <w:t xml:space="preserve">we tested our protocol using </w:t>
      </w:r>
      <w:r w:rsidDel="00000000" w:rsidR="00000000" w:rsidRPr="00000000">
        <w:rPr>
          <w:rFonts w:ascii="Arial" w:cs="Arial" w:eastAsia="Arial" w:hAnsi="Arial"/>
          <w:i w:val="1"/>
          <w:color w:val="000000"/>
          <w:sz w:val="22"/>
          <w:szCs w:val="22"/>
          <w:rtl w:val="0"/>
        </w:rPr>
        <w:t xml:space="preserve">Medicago polymorpha</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000000"/>
          <w:sz w:val="22"/>
          <w:szCs w:val="22"/>
          <w:rtl w:val="0"/>
        </w:rPr>
        <w:t xml:space="preserve">a leguminous plant whose biochemical responses to herbivory have not been quantified. With trifoliate leaves that may weigh less than 50 mg, </w:t>
      </w:r>
      <w:r w:rsidDel="00000000" w:rsidR="00000000" w:rsidRPr="00000000">
        <w:rPr>
          <w:rFonts w:ascii="Arial" w:cs="Arial" w:eastAsia="Arial" w:hAnsi="Arial"/>
          <w:i w:val="1"/>
          <w:sz w:val="22"/>
          <w:szCs w:val="22"/>
          <w:rtl w:val="0"/>
        </w:rPr>
        <w:t xml:space="preserve">M. polymorpha</w:t>
      </w:r>
      <w:r w:rsidDel="00000000" w:rsidR="00000000" w:rsidRPr="00000000">
        <w:rPr>
          <w:rFonts w:ascii="Arial" w:cs="Arial" w:eastAsia="Arial" w:hAnsi="Arial"/>
          <w:color w:val="000000"/>
          <w:sz w:val="22"/>
          <w:szCs w:val="22"/>
          <w:rtl w:val="0"/>
        </w:rPr>
        <w:t xml:space="preserve"> is representative of a “non-model” plant. </w:t>
      </w:r>
      <w:r w:rsidDel="00000000" w:rsidR="00000000" w:rsidRPr="00000000">
        <w:rPr>
          <w:rFonts w:ascii="Arial" w:cs="Arial" w:eastAsia="Arial" w:hAnsi="Arial"/>
          <w:sz w:val="22"/>
          <w:szCs w:val="22"/>
          <w:rtl w:val="0"/>
        </w:rPr>
        <w:t xml:space="preserve">T</w:t>
      </w:r>
      <w:r w:rsidDel="00000000" w:rsidR="00000000" w:rsidRPr="00000000">
        <w:rPr>
          <w:rFonts w:ascii="Arial" w:cs="Arial" w:eastAsia="Arial" w:hAnsi="Arial"/>
          <w:color w:val="000000"/>
          <w:sz w:val="22"/>
          <w:szCs w:val="22"/>
          <w:rtl w:val="0"/>
        </w:rPr>
        <w:t xml:space="preserve">his protocol paves the way toward more comprehensively assaying plant biochemical responses to herbivory in non-model plants and allows for greater sample capacity, which would allow for improved statistics, time course experiments, and more complex</w:t>
      </w:r>
      <w:r w:rsidDel="00000000" w:rsidR="00000000" w:rsidRPr="00000000">
        <w:rPr>
          <w:rFonts w:ascii="Arial" w:cs="Arial" w:eastAsia="Arial" w:hAnsi="Arial"/>
          <w:sz w:val="22"/>
          <w:szCs w:val="22"/>
          <w:rtl w:val="0"/>
        </w:rPr>
        <w:t xml:space="preserve"> experimental designs.</w:t>
      </w:r>
      <w:r w:rsidDel="00000000" w:rsidR="00000000" w:rsidRPr="00000000">
        <w:rPr>
          <w:rtl w:val="0"/>
        </w:rPr>
      </w:r>
    </w:p>
    <w:p w:rsidR="00000000" w:rsidDel="00000000" w:rsidP="00000000" w:rsidRDefault="00000000" w:rsidRPr="00000000" w14:paraId="00000029">
      <w:pPr>
        <w:pageBreakBefore w:val="0"/>
        <w:spacing w:line="480" w:lineRule="auto"/>
        <w:jc w:val="center"/>
        <w:rPr>
          <w:rFonts w:ascii="Arial" w:cs="Arial" w:eastAsia="Arial" w:hAnsi="Arial"/>
          <w:b w:val="1"/>
          <w:sz w:val="22"/>
          <w:szCs w:val="22"/>
        </w:rPr>
      </w:pPr>
      <w:r w:rsidDel="00000000" w:rsidR="00000000" w:rsidRPr="00000000">
        <w:rPr>
          <w:rFonts w:ascii="Arial" w:cs="Arial" w:eastAsia="Arial" w:hAnsi="Arial"/>
          <w:b w:val="1"/>
          <w:color w:val="000000"/>
          <w:sz w:val="22"/>
          <w:szCs w:val="22"/>
          <w:rtl w:val="0"/>
        </w:rPr>
        <w:t xml:space="preserve">METHODS AND RESULTS </w:t>
      </w:r>
      <w:r w:rsidDel="00000000" w:rsidR="00000000" w:rsidRPr="00000000">
        <w:rPr>
          <w:rtl w:val="0"/>
        </w:rPr>
      </w:r>
    </w:p>
    <w:p w:rsidR="00000000" w:rsidDel="00000000" w:rsidP="00000000" w:rsidRDefault="00000000" w:rsidRPr="00000000" w14:paraId="0000002A">
      <w:pPr>
        <w:pageBreakBefore w:val="0"/>
        <w:spacing w:line="480" w:lineRule="auto"/>
        <w:rPr>
          <w:rFonts w:ascii="Arial" w:cs="Arial" w:eastAsia="Arial" w:hAnsi="Arial"/>
          <w:color w:val="000000"/>
          <w:sz w:val="22"/>
          <w:szCs w:val="22"/>
        </w:rPr>
      </w:pPr>
      <w:r w:rsidDel="00000000" w:rsidR="00000000" w:rsidRPr="00000000">
        <w:rPr>
          <w:rFonts w:ascii="Arial" w:cs="Arial" w:eastAsia="Arial" w:hAnsi="Arial"/>
          <w:b w:val="1"/>
          <w:sz w:val="22"/>
          <w:szCs w:val="22"/>
          <w:rtl w:val="0"/>
        </w:rPr>
        <w:t xml:space="preserve">T</w:t>
      </w:r>
      <w:r w:rsidDel="00000000" w:rsidR="00000000" w:rsidRPr="00000000">
        <w:rPr>
          <w:rFonts w:ascii="Arial" w:cs="Arial" w:eastAsia="Arial" w:hAnsi="Arial"/>
          <w:b w:val="1"/>
          <w:color w:val="000000"/>
          <w:sz w:val="22"/>
          <w:szCs w:val="22"/>
          <w:rtl w:val="0"/>
        </w:rPr>
        <w:t xml:space="preserve">issue preparation- </w:t>
      </w:r>
      <w:r w:rsidDel="00000000" w:rsidR="00000000" w:rsidRPr="00000000">
        <w:rPr>
          <w:rFonts w:ascii="Arial" w:cs="Arial" w:eastAsia="Arial" w:hAnsi="Arial"/>
          <w:color w:val="000000"/>
          <w:sz w:val="22"/>
          <w:szCs w:val="22"/>
          <w:rtl w:val="0"/>
        </w:rPr>
        <w:t xml:space="preserve">To  compare </w:t>
      </w:r>
      <w:r w:rsidDel="00000000" w:rsidR="00000000" w:rsidRPr="00000000">
        <w:rPr>
          <w:rFonts w:ascii="Arial" w:cs="Arial" w:eastAsia="Arial" w:hAnsi="Arial"/>
          <w:sz w:val="22"/>
          <w:szCs w:val="22"/>
          <w:rtl w:val="0"/>
        </w:rPr>
        <w:t xml:space="preserve"> our protocol</w:t>
      </w:r>
      <w:r w:rsidDel="00000000" w:rsidR="00000000" w:rsidRPr="00000000">
        <w:rPr>
          <w:rFonts w:ascii="Arial" w:cs="Arial" w:eastAsia="Arial" w:hAnsi="Arial"/>
          <w:color w:val="000000"/>
          <w:sz w:val="22"/>
          <w:szCs w:val="22"/>
          <w:rtl w:val="0"/>
        </w:rPr>
        <w:t xml:space="preserve"> to current spectrophotometer protocols, we used </w:t>
      </w:r>
      <w:r w:rsidDel="00000000" w:rsidR="00000000" w:rsidRPr="00000000">
        <w:rPr>
          <w:rFonts w:ascii="Arial" w:cs="Arial" w:eastAsia="Arial" w:hAnsi="Arial"/>
          <w:sz w:val="22"/>
          <w:szCs w:val="22"/>
          <w:rtl w:val="0"/>
        </w:rPr>
        <w:t xml:space="preserve">t</w:t>
      </w:r>
      <w:r w:rsidDel="00000000" w:rsidR="00000000" w:rsidRPr="00000000">
        <w:rPr>
          <w:rFonts w:ascii="Arial" w:cs="Arial" w:eastAsia="Arial" w:hAnsi="Arial"/>
          <w:color w:val="000000"/>
          <w:sz w:val="22"/>
          <w:szCs w:val="22"/>
          <w:rtl w:val="0"/>
        </w:rPr>
        <w:t xml:space="preserve">omato (</w:t>
      </w:r>
      <w:r w:rsidDel="00000000" w:rsidR="00000000" w:rsidRPr="00000000">
        <w:rPr>
          <w:rFonts w:ascii="Arial" w:cs="Arial" w:eastAsia="Arial" w:hAnsi="Arial"/>
          <w:i w:val="1"/>
          <w:color w:val="000000"/>
          <w:sz w:val="22"/>
          <w:szCs w:val="22"/>
          <w:rtl w:val="0"/>
        </w:rPr>
        <w:t xml:space="preserve">Solanum lycopersicum, </w:t>
      </w:r>
      <w:r w:rsidDel="00000000" w:rsidR="00000000" w:rsidRPr="00000000">
        <w:rPr>
          <w:rFonts w:ascii="Arial" w:cs="Arial" w:eastAsia="Arial" w:hAnsi="Arial"/>
          <w:color w:val="000000"/>
          <w:sz w:val="22"/>
          <w:szCs w:val="22"/>
          <w:rtl w:val="0"/>
        </w:rPr>
        <w:t xml:space="preserve">ecotype M82</w:t>
      </w:r>
      <w:r w:rsidDel="00000000" w:rsidR="00000000" w:rsidRPr="00000000">
        <w:rPr>
          <w:rFonts w:ascii="Arial" w:cs="Arial" w:eastAsia="Arial" w:hAnsi="Arial"/>
          <w:i w:val="1"/>
          <w:color w:val="000000"/>
          <w:sz w:val="22"/>
          <w:szCs w:val="22"/>
          <w:rtl w:val="0"/>
        </w:rPr>
        <w:t xml:space="preserve">)</w:t>
      </w:r>
      <w:r w:rsidDel="00000000" w:rsidR="00000000" w:rsidRPr="00000000">
        <w:rPr>
          <w:rFonts w:ascii="Arial" w:cs="Arial" w:eastAsia="Arial" w:hAnsi="Arial"/>
          <w:color w:val="000000"/>
          <w:sz w:val="22"/>
          <w:szCs w:val="22"/>
          <w:rtl w:val="0"/>
        </w:rPr>
        <w:t xml:space="preserve">, a model plant often used for testing defense responses, and the non-model plant </w:t>
      </w:r>
      <w:r w:rsidDel="00000000" w:rsidR="00000000" w:rsidRPr="00000000">
        <w:rPr>
          <w:rFonts w:ascii="Arial" w:cs="Arial" w:eastAsia="Arial" w:hAnsi="Arial"/>
          <w:i w:val="1"/>
          <w:color w:val="000000"/>
          <w:sz w:val="22"/>
          <w:szCs w:val="22"/>
          <w:rtl w:val="0"/>
        </w:rPr>
        <w:t xml:space="preserve">Medicago polymorpha</w:t>
      </w:r>
      <w:r w:rsidDel="00000000" w:rsidR="00000000" w:rsidRPr="00000000">
        <w:rPr>
          <w:rFonts w:ascii="Arial" w:cs="Arial" w:eastAsia="Arial" w:hAnsi="Arial"/>
          <w:color w:val="000000"/>
          <w:sz w:val="22"/>
          <w:szCs w:val="22"/>
          <w:rtl w:val="0"/>
        </w:rPr>
        <w:t xml:space="preserve">. Tomato</w:t>
      </w:r>
      <w:r w:rsidDel="00000000" w:rsidR="00000000" w:rsidRPr="00000000">
        <w:rPr>
          <w:rFonts w:ascii="Arial" w:cs="Arial" w:eastAsia="Arial" w:hAnsi="Arial"/>
          <w:i w:val="1"/>
          <w:color w:val="000000"/>
          <w:sz w:val="22"/>
          <w:szCs w:val="22"/>
          <w:rtl w:val="0"/>
        </w:rPr>
        <w:t xml:space="preserve"> </w:t>
      </w:r>
      <w:r w:rsidDel="00000000" w:rsidR="00000000" w:rsidRPr="00000000">
        <w:rPr>
          <w:rFonts w:ascii="Arial" w:cs="Arial" w:eastAsia="Arial" w:hAnsi="Arial"/>
          <w:color w:val="000000"/>
          <w:sz w:val="22"/>
          <w:szCs w:val="22"/>
          <w:rtl w:val="0"/>
        </w:rPr>
        <w:t xml:space="preserve">seeds were scarified with 600 grit sandpaper, imbibed in dH</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O for three days at 4°C in the dark to stratify, then placed in a dark cabinet overnight. </w:t>
      </w:r>
      <w:r w:rsidDel="00000000" w:rsidR="00000000" w:rsidRPr="00000000">
        <w:rPr>
          <w:rFonts w:ascii="Arial" w:cs="Arial" w:eastAsia="Arial" w:hAnsi="Arial"/>
          <w:sz w:val="22"/>
          <w:szCs w:val="22"/>
          <w:rtl w:val="0"/>
        </w:rPr>
        <w:t xml:space="preserve">G</w:t>
      </w:r>
      <w:r w:rsidDel="00000000" w:rsidR="00000000" w:rsidRPr="00000000">
        <w:rPr>
          <w:rFonts w:ascii="Arial" w:cs="Arial" w:eastAsia="Arial" w:hAnsi="Arial"/>
          <w:color w:val="000000"/>
          <w:sz w:val="22"/>
          <w:szCs w:val="22"/>
          <w:rtl w:val="0"/>
        </w:rPr>
        <w:t xml:space="preserve">erminated seedlings were grown for three weeks in a grow room before inducing defensive responses.  Burr medic (</w:t>
      </w:r>
      <w:r w:rsidDel="00000000" w:rsidR="00000000" w:rsidRPr="00000000">
        <w:rPr>
          <w:rFonts w:ascii="Arial" w:cs="Arial" w:eastAsia="Arial" w:hAnsi="Arial"/>
          <w:i w:val="1"/>
          <w:color w:val="000000"/>
          <w:sz w:val="22"/>
          <w:szCs w:val="22"/>
          <w:rtl w:val="0"/>
        </w:rPr>
        <w:t xml:space="preserve">Medicago polymorpha</w:t>
      </w:r>
      <w:r w:rsidDel="00000000" w:rsidR="00000000" w:rsidRPr="00000000">
        <w:rPr>
          <w:rFonts w:ascii="Arial" w:cs="Arial" w:eastAsia="Arial" w:hAnsi="Arial"/>
          <w:color w:val="000000"/>
          <w:sz w:val="22"/>
          <w:szCs w:val="22"/>
          <w:rtl w:val="0"/>
        </w:rPr>
        <w:t xml:space="preserve">) seeds (</w:t>
      </w:r>
      <w:r w:rsidDel="00000000" w:rsidR="00000000" w:rsidRPr="00000000">
        <w:rPr>
          <w:rFonts w:ascii="Arial" w:cs="Arial" w:eastAsia="Arial" w:hAnsi="Arial"/>
          <w:color w:val="000000"/>
          <w:sz w:val="22"/>
          <w:szCs w:val="22"/>
          <w:rtl w:val="0"/>
        </w:rPr>
        <w:t xml:space="preserve">Appendix 2)</w:t>
      </w:r>
      <w:r w:rsidDel="00000000" w:rsidR="00000000" w:rsidRPr="00000000">
        <w:rPr>
          <w:rFonts w:ascii="Arial" w:cs="Arial" w:eastAsia="Arial" w:hAnsi="Arial"/>
          <w:color w:val="000000"/>
          <w:sz w:val="22"/>
          <w:szCs w:val="22"/>
          <w:rtl w:val="0"/>
        </w:rPr>
        <w:t xml:space="preserve"> were scarified as described</w:t>
      </w:r>
      <w:r w:rsidDel="00000000" w:rsidR="00000000" w:rsidRPr="00000000">
        <w:rPr>
          <w:rFonts w:ascii="Arial" w:cs="Arial" w:eastAsia="Arial" w:hAnsi="Arial"/>
          <w:sz w:val="22"/>
          <w:szCs w:val="22"/>
          <w:rtl w:val="0"/>
        </w:rPr>
        <w:t xml:space="preserve"> above and planted into 158-mL pots filled with Sungro Sunshine Mix #1. Plants were inoculated a week after planting with a rhizobium strain mixture of 10</w:t>
      </w:r>
      <w:r w:rsidDel="00000000" w:rsidR="00000000" w:rsidRPr="00000000">
        <w:rPr>
          <w:rFonts w:ascii="Arial" w:cs="Arial" w:eastAsia="Arial" w:hAnsi="Arial"/>
          <w:sz w:val="22"/>
          <w:szCs w:val="22"/>
          <w:rtl w:val="0"/>
        </w:rPr>
        <w:t xml:space="preserve">7 cells of equal parts </w:t>
      </w:r>
      <w:r w:rsidDel="00000000" w:rsidR="00000000" w:rsidRPr="00000000">
        <w:rPr>
          <w:rFonts w:ascii="Arial" w:cs="Arial" w:eastAsia="Arial" w:hAnsi="Arial"/>
          <w:i w:val="1"/>
          <w:sz w:val="22"/>
          <w:szCs w:val="22"/>
          <w:rtl w:val="0"/>
        </w:rPr>
        <w:t xml:space="preserve">Ensifer medicae</w:t>
      </w:r>
      <w:r w:rsidDel="00000000" w:rsidR="00000000" w:rsidRPr="00000000">
        <w:rPr>
          <w:rFonts w:ascii="Arial" w:cs="Arial" w:eastAsia="Arial" w:hAnsi="Arial"/>
          <w:sz w:val="22"/>
          <w:szCs w:val="22"/>
          <w:rtl w:val="0"/>
        </w:rPr>
        <w:t xml:space="preserve"> strain WSM419 and </w:t>
      </w:r>
      <w:r w:rsidDel="00000000" w:rsidR="00000000" w:rsidRPr="00000000">
        <w:rPr>
          <w:rFonts w:ascii="Arial" w:cs="Arial" w:eastAsia="Arial" w:hAnsi="Arial"/>
          <w:i w:val="1"/>
          <w:sz w:val="22"/>
          <w:szCs w:val="22"/>
          <w:rtl w:val="0"/>
        </w:rPr>
        <w:t xml:space="preserve">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meliloti</w:t>
      </w:r>
      <w:r w:rsidDel="00000000" w:rsidR="00000000" w:rsidRPr="00000000">
        <w:rPr>
          <w:rFonts w:ascii="Arial" w:cs="Arial" w:eastAsia="Arial" w:hAnsi="Arial"/>
          <w:sz w:val="22"/>
          <w:szCs w:val="22"/>
          <w:rtl w:val="0"/>
        </w:rPr>
        <w:t xml:space="preserve"> strain 1021 to prevent nitrogen starvation and to mimic natural conditions. </w:t>
      </w:r>
      <w:r w:rsidDel="00000000" w:rsidR="00000000" w:rsidRPr="00000000">
        <w:rPr>
          <w:rtl w:val="0"/>
        </w:rPr>
      </w:r>
    </w:p>
    <w:p w:rsidR="00000000" w:rsidDel="00000000" w:rsidP="00000000" w:rsidRDefault="00000000" w:rsidRPr="00000000" w14:paraId="0000002B">
      <w:pPr>
        <w:pageBreakBefore w:val="0"/>
        <w:spacing w:line="480" w:lineRule="auto"/>
        <w:ind w:left="0" w:firstLine="72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To ensure that our protocol could adequately detect </w:t>
      </w:r>
      <w:r w:rsidDel="00000000" w:rsidR="00000000" w:rsidRPr="00000000">
        <w:rPr>
          <w:rFonts w:ascii="Arial" w:cs="Arial" w:eastAsia="Arial" w:hAnsi="Arial"/>
          <w:sz w:val="22"/>
          <w:szCs w:val="22"/>
          <w:rtl w:val="0"/>
        </w:rPr>
        <w:t xml:space="preserve">plant defense responses</w:t>
      </w:r>
      <w:r w:rsidDel="00000000" w:rsidR="00000000" w:rsidRPr="00000000">
        <w:rPr>
          <w:rFonts w:ascii="Arial" w:cs="Arial" w:eastAsia="Arial" w:hAnsi="Arial"/>
          <w:color w:val="000000"/>
          <w:sz w:val="22"/>
          <w:szCs w:val="22"/>
          <w:rtl w:val="0"/>
        </w:rPr>
        <w:t xml:space="preserve"> both pre- and post</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000000"/>
          <w:sz w:val="22"/>
          <w:szCs w:val="22"/>
          <w:rtl w:val="0"/>
        </w:rPr>
        <w:t xml:space="preserve">herbivory, we manually induc</w:t>
      </w:r>
      <w:r w:rsidDel="00000000" w:rsidR="00000000" w:rsidRPr="00000000">
        <w:rPr>
          <w:rFonts w:ascii="Arial" w:cs="Arial" w:eastAsia="Arial" w:hAnsi="Arial"/>
          <w:sz w:val="22"/>
          <w:szCs w:val="22"/>
          <w:rtl w:val="0"/>
        </w:rPr>
        <w:t xml:space="preserve">ed</w:t>
      </w:r>
      <w:r w:rsidDel="00000000" w:rsidR="00000000" w:rsidRPr="00000000">
        <w:rPr>
          <w:rFonts w:ascii="Arial" w:cs="Arial" w:eastAsia="Arial" w:hAnsi="Arial"/>
          <w:color w:val="000000"/>
          <w:sz w:val="22"/>
          <w:szCs w:val="22"/>
          <w:rtl w:val="0"/>
        </w:rPr>
        <w:t xml:space="preserve"> plant responses using caterpillar regurgitant. Regurgitant was generated by compressing soybean looper (</w:t>
      </w:r>
      <w:r w:rsidDel="00000000" w:rsidR="00000000" w:rsidRPr="00000000">
        <w:rPr>
          <w:rFonts w:ascii="Arial" w:cs="Arial" w:eastAsia="Arial" w:hAnsi="Arial"/>
          <w:i w:val="1"/>
          <w:color w:val="000000"/>
          <w:sz w:val="22"/>
          <w:szCs w:val="22"/>
          <w:rtl w:val="0"/>
        </w:rPr>
        <w:t xml:space="preserve">Chrysodeixis includens</w:t>
      </w:r>
      <w:r w:rsidDel="00000000" w:rsidR="00000000" w:rsidRPr="00000000">
        <w:rPr>
          <w:rFonts w:ascii="Arial" w:cs="Arial" w:eastAsia="Arial" w:hAnsi="Arial"/>
          <w:color w:val="000000"/>
          <w:sz w:val="22"/>
          <w:szCs w:val="22"/>
          <w:rtl w:val="0"/>
        </w:rPr>
        <w:t xml:space="preserve">) stomachs with forceps post feeding on corresponding host plants. Leaves were manually wounded with scissors dipped in regurgitant. Leaf samples were taken from each plant at 0 and 24 hours and flash frozen in liquid nitrogen for storage at -80°C until processing.</w:t>
      </w:r>
    </w:p>
    <w:p w:rsidR="00000000" w:rsidDel="00000000" w:rsidP="00000000" w:rsidRDefault="00000000" w:rsidRPr="00000000" w14:paraId="0000002C">
      <w:pPr>
        <w:pageBreakBefore w:val="0"/>
        <w:spacing w:line="48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D">
      <w:pPr>
        <w:pageBreakBefore w:val="0"/>
        <w:spacing w:line="48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Assays</w:t>
      </w:r>
    </w:p>
    <w:p w:rsidR="00000000" w:rsidDel="00000000" w:rsidP="00000000" w:rsidRDefault="00000000" w:rsidRPr="00000000" w14:paraId="0000002E">
      <w:pPr>
        <w:pageBreakBefore w:val="0"/>
        <w:spacing w:line="480"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One challenge of attempting to assay multiple enzymes and small molecules from a single </w:t>
      </w:r>
      <w:r w:rsidDel="00000000" w:rsidR="00000000" w:rsidRPr="00000000">
        <w:rPr>
          <w:rFonts w:ascii="Arial" w:cs="Arial" w:eastAsia="Arial" w:hAnsi="Arial"/>
          <w:sz w:val="22"/>
          <w:szCs w:val="22"/>
          <w:rtl w:val="0"/>
        </w:rPr>
        <w:t xml:space="preserve">sample</w:t>
      </w:r>
      <w:r w:rsidDel="00000000" w:rsidR="00000000" w:rsidRPr="00000000">
        <w:rPr>
          <w:rFonts w:ascii="Arial" w:cs="Arial" w:eastAsia="Arial" w:hAnsi="Arial"/>
          <w:color w:val="000000"/>
          <w:sz w:val="22"/>
          <w:szCs w:val="22"/>
          <w:rtl w:val="0"/>
        </w:rPr>
        <w:t xml:space="preserve"> is finding an appropriate extraction buffer that will preserve the integrity of the metabolites while not creating conditions inhibitory for other assays.</w:t>
      </w:r>
      <w:r w:rsidDel="00000000" w:rsidR="00000000" w:rsidRPr="00000000">
        <w:rPr>
          <w:rFonts w:ascii="Arial" w:cs="Arial" w:eastAsia="Arial" w:hAnsi="Arial"/>
          <w:i w:val="1"/>
          <w:color w:val="000000"/>
          <w:sz w:val="22"/>
          <w:szCs w:val="22"/>
          <w:rtl w:val="0"/>
        </w:rPr>
        <w:t xml:space="preserve"> </w:t>
      </w:r>
      <w:r w:rsidDel="00000000" w:rsidR="00000000" w:rsidRPr="00000000">
        <w:rPr>
          <w:rFonts w:ascii="Arial" w:cs="Arial" w:eastAsia="Arial" w:hAnsi="Arial"/>
          <w:sz w:val="22"/>
          <w:szCs w:val="22"/>
          <w:rtl w:val="0"/>
        </w:rPr>
        <w:t xml:space="preserve">W</w:t>
      </w:r>
      <w:r w:rsidDel="00000000" w:rsidR="00000000" w:rsidRPr="00000000">
        <w:rPr>
          <w:rFonts w:ascii="Arial" w:cs="Arial" w:eastAsia="Arial" w:hAnsi="Arial"/>
          <w:color w:val="000000"/>
          <w:sz w:val="22"/>
          <w:szCs w:val="22"/>
          <w:rtl w:val="0"/>
        </w:rPr>
        <w:t xml:space="preserve">e were able to </w:t>
      </w:r>
      <w:r w:rsidDel="00000000" w:rsidR="00000000" w:rsidRPr="00000000">
        <w:rPr>
          <w:rFonts w:ascii="Arial" w:cs="Arial" w:eastAsia="Arial" w:hAnsi="Arial"/>
          <w:sz w:val="22"/>
          <w:szCs w:val="22"/>
          <w:rtl w:val="0"/>
        </w:rPr>
        <w:t xml:space="preserve">utilize</w:t>
      </w:r>
      <w:r w:rsidDel="00000000" w:rsidR="00000000" w:rsidRPr="00000000">
        <w:rPr>
          <w:rFonts w:ascii="Arial" w:cs="Arial" w:eastAsia="Arial" w:hAnsi="Arial"/>
          <w:color w:val="000000"/>
          <w:sz w:val="22"/>
          <w:szCs w:val="22"/>
          <w:rtl w:val="0"/>
        </w:rPr>
        <w:t xml:space="preserve"> two extraction buffers: a trichloroacetic acid (TCA) buffer and a protein extraction (PE) buffer. The TCA buffer provides the appropriate conditions for assaying the production of hydrogen peroxide [</w:t>
      </w:r>
      <w:r w:rsidDel="00000000" w:rsidR="00000000" w:rsidRPr="00000000">
        <w:rPr>
          <w:rFonts w:ascii="Arial" w:cs="Arial" w:eastAsia="Arial" w:hAnsi="Arial"/>
          <w:sz w:val="22"/>
          <w:szCs w:val="22"/>
          <w:rtl w:val="0"/>
        </w:rPr>
        <w:t xml:space="preserve">6</w:t>
      </w:r>
      <w:r w:rsidDel="00000000" w:rsidR="00000000" w:rsidRPr="00000000">
        <w:rPr>
          <w:rFonts w:ascii="Arial" w:cs="Arial" w:eastAsia="Arial" w:hAnsi="Arial"/>
          <w:color w:val="000000"/>
          <w:sz w:val="22"/>
          <w:szCs w:val="22"/>
          <w:rtl w:val="0"/>
        </w:rPr>
        <w:t xml:space="preserve">]. The PE buffer was designed to provide the best crude extraction without the presence of interfering compounds. </w:t>
      </w:r>
      <w:r w:rsidDel="00000000" w:rsidR="00000000" w:rsidRPr="00000000">
        <w:rPr>
          <w:rFonts w:ascii="Arial" w:cs="Arial" w:eastAsia="Arial" w:hAnsi="Arial"/>
          <w:color w:val="222222"/>
          <w:sz w:val="22"/>
          <w:szCs w:val="22"/>
          <w:highlight w:val="white"/>
          <w:rtl w:val="0"/>
        </w:rPr>
        <w:t xml:space="preserve">Phenylmethane sulfonyl fluoride (PMSF), the serine protease inhibitor commonly present in protein extraction </w:t>
      </w:r>
      <w:r w:rsidDel="00000000" w:rsidR="00000000" w:rsidRPr="00000000">
        <w:rPr>
          <w:rFonts w:ascii="Arial" w:cs="Arial" w:eastAsia="Arial" w:hAnsi="Arial"/>
          <w:color w:val="000000"/>
          <w:sz w:val="22"/>
          <w:szCs w:val="22"/>
          <w:highlight w:val="white"/>
          <w:rtl w:val="0"/>
        </w:rPr>
        <w:t xml:space="preserve">buffers [</w:t>
      </w:r>
      <w:r w:rsidDel="00000000" w:rsidR="00000000" w:rsidRPr="00000000">
        <w:rPr>
          <w:rFonts w:ascii="Arial" w:cs="Arial" w:eastAsia="Arial" w:hAnsi="Arial"/>
          <w:sz w:val="22"/>
          <w:szCs w:val="22"/>
          <w:highlight w:val="white"/>
          <w:rtl w:val="0"/>
        </w:rPr>
        <w:t xml:space="preserve">7</w:t>
      </w:r>
      <w:r w:rsidDel="00000000" w:rsidR="00000000" w:rsidRPr="00000000">
        <w:rPr>
          <w:rFonts w:ascii="Arial" w:cs="Arial" w:eastAsia="Arial" w:hAnsi="Arial"/>
          <w:color w:val="000000"/>
          <w:sz w:val="22"/>
          <w:szCs w:val="22"/>
          <w:highlight w:val="white"/>
          <w:rtl w:val="0"/>
        </w:rPr>
        <w:t xml:space="preserve">], w</w:t>
      </w:r>
      <w:r w:rsidDel="00000000" w:rsidR="00000000" w:rsidRPr="00000000">
        <w:rPr>
          <w:rFonts w:ascii="Arial" w:cs="Arial" w:eastAsia="Arial" w:hAnsi="Arial"/>
          <w:color w:val="222222"/>
          <w:sz w:val="22"/>
          <w:szCs w:val="22"/>
          <w:highlight w:val="white"/>
          <w:rtl w:val="0"/>
        </w:rPr>
        <w:t xml:space="preserve">as removed due to the need to assay the production of protease inhibitors. Β-mercaptoethanol, also a common protein buffer ingredient [7]</w:t>
      </w:r>
      <w:r w:rsidDel="00000000" w:rsidR="00000000" w:rsidRPr="00000000">
        <w:rPr>
          <w:rFonts w:ascii="Arial" w:cs="Arial" w:eastAsia="Arial" w:hAnsi="Arial"/>
          <w:color w:val="000000"/>
          <w:sz w:val="22"/>
          <w:szCs w:val="22"/>
          <w:highlight w:val="white"/>
          <w:rtl w:val="0"/>
        </w:rPr>
        <w:t xml:space="preserve"> used as a reducing agent to ensure analysis of strictly monomeric proteins</w:t>
      </w:r>
      <w:r w:rsidDel="00000000" w:rsidR="00000000" w:rsidRPr="00000000">
        <w:rPr>
          <w:rFonts w:ascii="Arial" w:cs="Arial" w:eastAsia="Arial" w:hAnsi="Arial"/>
          <w:color w:val="222222"/>
          <w:sz w:val="22"/>
          <w:szCs w:val="22"/>
          <w:highlight w:val="white"/>
          <w:rtl w:val="0"/>
        </w:rPr>
        <w:t xml:space="preserve">, was removed due to interference with the </w:t>
      </w:r>
      <w:r w:rsidDel="00000000" w:rsidR="00000000" w:rsidRPr="00000000">
        <w:rPr>
          <w:rFonts w:ascii="Arial" w:cs="Arial" w:eastAsia="Arial" w:hAnsi="Arial"/>
          <w:color w:val="000000"/>
          <w:sz w:val="22"/>
          <w:szCs w:val="22"/>
          <w:rtl w:val="0"/>
        </w:rPr>
        <w:t xml:space="preserve">Thermo Scientific</w:t>
      </w:r>
      <w:r w:rsidDel="00000000" w:rsidR="00000000" w:rsidRPr="00000000">
        <w:rPr>
          <w:rFonts w:ascii="Arial" w:cs="Arial" w:eastAsia="Arial" w:hAnsi="Arial"/>
          <w:color w:val="000000"/>
          <w:sz w:val="22"/>
          <w:szCs w:val="22"/>
          <w:vertAlign w:val="superscript"/>
          <w:rtl w:val="0"/>
        </w:rPr>
        <w:t xml:space="preserve">  </w:t>
      </w:r>
      <w:r w:rsidDel="00000000" w:rsidR="00000000" w:rsidRPr="00000000">
        <w:rPr>
          <w:rFonts w:ascii="Arial" w:cs="Arial" w:eastAsia="Arial" w:hAnsi="Arial"/>
          <w:color w:val="000000"/>
          <w:sz w:val="22"/>
          <w:szCs w:val="22"/>
          <w:rtl w:val="0"/>
        </w:rPr>
        <w:t xml:space="preserve">Pierce</w:t>
      </w:r>
      <w:r w:rsidDel="00000000" w:rsidR="00000000" w:rsidRPr="00000000">
        <w:rPr>
          <w:rFonts w:ascii="Arial" w:cs="Arial" w:eastAsia="Arial" w:hAnsi="Arial"/>
          <w:color w:val="000000"/>
          <w:sz w:val="22"/>
          <w:szCs w:val="22"/>
          <w:vertAlign w:val="superscript"/>
          <w:rtl w:val="0"/>
        </w:rPr>
        <w:t xml:space="preserve">TM</w:t>
      </w:r>
      <w:r w:rsidDel="00000000" w:rsidR="00000000" w:rsidRPr="00000000">
        <w:rPr>
          <w:rFonts w:ascii="Arial" w:cs="Arial" w:eastAsia="Arial" w:hAnsi="Arial"/>
          <w:color w:val="000000"/>
          <w:sz w:val="22"/>
          <w:szCs w:val="22"/>
          <w:rtl w:val="0"/>
        </w:rPr>
        <w:t xml:space="preserve"> BCA Protein Assay Kit</w:t>
      </w:r>
      <w:r w:rsidDel="00000000" w:rsidR="00000000" w:rsidRPr="00000000">
        <w:rPr>
          <w:rFonts w:ascii="Arial" w:cs="Arial" w:eastAsia="Arial" w:hAnsi="Arial"/>
          <w:color w:val="222222"/>
          <w:sz w:val="22"/>
          <w:szCs w:val="22"/>
          <w:highlight w:val="white"/>
          <w:rtl w:val="0"/>
        </w:rPr>
        <w:t xml:space="preserve">. Previous studies, specifically ones from which we modified original assays [8, 9]</w:t>
      </w:r>
      <w:r w:rsidDel="00000000" w:rsidR="00000000" w:rsidRPr="00000000">
        <w:rPr>
          <w:rFonts w:ascii="Arial" w:cs="Arial" w:eastAsia="Arial" w:hAnsi="Arial"/>
          <w:color w:val="000000"/>
          <w:sz w:val="22"/>
          <w:szCs w:val="22"/>
          <w:rtl w:val="0"/>
        </w:rPr>
        <w:t xml:space="preserve"> used extraction buffers lacking protease inhibitors and/or reducing agents with no significant change to final results.</w:t>
      </w:r>
      <w:r w:rsidDel="00000000" w:rsidR="00000000" w:rsidRPr="00000000">
        <w:rPr>
          <w:rFonts w:ascii="Arial" w:cs="Arial" w:eastAsia="Arial" w:hAnsi="Arial"/>
          <w:color w:val="222222"/>
          <w:sz w:val="22"/>
          <w:szCs w:val="22"/>
          <w:highlight w:val="white"/>
          <w:rtl w:val="0"/>
        </w:rPr>
        <w:t xml:space="preserve"> Our PE buffer thus results in a crude extract that provides predictable results when published assays were replicated for validation purposes</w:t>
      </w:r>
      <w:r w:rsidDel="00000000" w:rsidR="00000000" w:rsidRPr="00000000">
        <w:rPr>
          <w:rFonts w:ascii="Arial" w:cs="Arial" w:eastAsia="Arial" w:hAnsi="Arial"/>
          <w:color w:val="000000"/>
          <w:sz w:val="22"/>
          <w:szCs w:val="22"/>
          <w:rtl w:val="0"/>
        </w:rPr>
        <w:t xml:space="preserve"> (Table 1). All protein extractions were diluted 10-fold to enable additional assays to be run on individual samples. </w:t>
      </w:r>
      <w:r w:rsidDel="00000000" w:rsidR="00000000" w:rsidRPr="00000000">
        <w:rPr>
          <w:rFonts w:ascii="Arial" w:cs="Arial" w:eastAsia="Arial" w:hAnsi="Arial"/>
          <w:sz w:val="22"/>
          <w:szCs w:val="22"/>
          <w:rtl w:val="0"/>
        </w:rPr>
        <w:t xml:space="preserve">Frozen l</w:t>
      </w:r>
      <w:r w:rsidDel="00000000" w:rsidR="00000000" w:rsidRPr="00000000">
        <w:rPr>
          <w:rFonts w:ascii="Arial" w:cs="Arial" w:eastAsia="Arial" w:hAnsi="Arial"/>
          <w:color w:val="000000"/>
          <w:sz w:val="22"/>
          <w:szCs w:val="22"/>
          <w:rtl w:val="0"/>
        </w:rPr>
        <w:t xml:space="preserve">eaf</w:t>
      </w:r>
      <w:r w:rsidDel="00000000" w:rsidR="00000000" w:rsidRPr="00000000">
        <w:rPr>
          <w:rFonts w:ascii="Arial" w:cs="Arial" w:eastAsia="Arial" w:hAnsi="Arial"/>
          <w:color w:val="000000"/>
          <w:sz w:val="22"/>
          <w:szCs w:val="22"/>
          <w:rtl w:val="0"/>
        </w:rPr>
        <w:t xml:space="preserve"> tissue from each plant was placed into two eppendorf tubes and weighed. The tubes were homogenized for 15 minutes at 300 rpm in a tissuelyser (QIAGEN TissueLyser II)</w:t>
      </w:r>
      <w:r w:rsidDel="00000000" w:rsidR="00000000" w:rsidRPr="00000000">
        <w:rPr>
          <w:rFonts w:ascii="Arial" w:cs="Arial" w:eastAsia="Arial" w:hAnsi="Arial"/>
          <w:b w:val="1"/>
          <w:color w:val="000000"/>
          <w:sz w:val="22"/>
          <w:szCs w:val="22"/>
          <w:rtl w:val="0"/>
        </w:rPr>
        <w:t xml:space="preserve">.</w:t>
      </w:r>
      <w:r w:rsidDel="00000000" w:rsidR="00000000" w:rsidRPr="00000000">
        <w:rPr>
          <w:rFonts w:ascii="Arial" w:cs="Arial" w:eastAsia="Arial" w:hAnsi="Arial"/>
          <w:color w:val="000000"/>
          <w:sz w:val="22"/>
          <w:szCs w:val="22"/>
          <w:rtl w:val="0"/>
        </w:rPr>
        <w:t xml:space="preserve"> One tube received 1m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 of the 0.1% TCA buffer, while the other received 1 ml of the PE buffer (1mM EDTA, 88mM Trizma Base, 10% glycerol). Appendix 1 lists what buffer </w:t>
      </w:r>
      <w:r w:rsidDel="00000000" w:rsidR="00000000" w:rsidRPr="00000000">
        <w:rPr>
          <w:rFonts w:ascii="Arial" w:cs="Arial" w:eastAsia="Arial" w:hAnsi="Arial"/>
          <w:sz w:val="22"/>
          <w:szCs w:val="22"/>
          <w:rtl w:val="0"/>
        </w:rPr>
        <w:t xml:space="preserve">was</w:t>
      </w:r>
      <w:r w:rsidDel="00000000" w:rsidR="00000000" w:rsidRPr="00000000">
        <w:rPr>
          <w:rFonts w:ascii="Arial" w:cs="Arial" w:eastAsia="Arial" w:hAnsi="Arial"/>
          <w:color w:val="000000"/>
          <w:sz w:val="22"/>
          <w:szCs w:val="22"/>
          <w:rtl w:val="0"/>
        </w:rPr>
        <w:t xml:space="preserve"> used in each assay. </w:t>
      </w:r>
      <w:r w:rsidDel="00000000" w:rsidR="00000000" w:rsidRPr="00000000">
        <w:rPr>
          <w:rFonts w:ascii="Arial" w:cs="Arial" w:eastAsia="Arial" w:hAnsi="Arial"/>
          <w:sz w:val="22"/>
          <w:szCs w:val="22"/>
          <w:rtl w:val="0"/>
        </w:rPr>
        <w:t xml:space="preserve">T</w:t>
      </w:r>
      <w:r w:rsidDel="00000000" w:rsidR="00000000" w:rsidRPr="00000000">
        <w:rPr>
          <w:rFonts w:ascii="Arial" w:cs="Arial" w:eastAsia="Arial" w:hAnsi="Arial"/>
          <w:color w:val="000000"/>
          <w:sz w:val="22"/>
          <w:szCs w:val="22"/>
          <w:rtl w:val="0"/>
        </w:rPr>
        <w:t xml:space="preserve">ubes were centrifuged at 4°C for 10 minutes at 15000 rpm in an accuSpin Micro 17 centrifuge (Fisher Scientific) and the supernatant pipetted into clean tubes. The PE </w:t>
      </w:r>
      <w:r w:rsidDel="00000000" w:rsidR="00000000" w:rsidRPr="00000000">
        <w:rPr>
          <w:rFonts w:ascii="Arial" w:cs="Arial" w:eastAsia="Arial" w:hAnsi="Arial"/>
          <w:sz w:val="22"/>
          <w:szCs w:val="22"/>
          <w:rtl w:val="0"/>
        </w:rPr>
        <w:t xml:space="preserve">extract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samples</w:t>
      </w:r>
      <w:r w:rsidDel="00000000" w:rsidR="00000000" w:rsidRPr="00000000">
        <w:rPr>
          <w:rFonts w:ascii="Arial" w:cs="Arial" w:eastAsia="Arial" w:hAnsi="Arial"/>
          <w:color w:val="000000"/>
          <w:sz w:val="22"/>
          <w:szCs w:val="22"/>
          <w:rtl w:val="0"/>
        </w:rPr>
        <w:t xml:space="preserve"> were then diluted to 1/10X. All absorbance values were run </w:t>
      </w:r>
      <w:r w:rsidDel="00000000" w:rsidR="00000000" w:rsidRPr="00000000">
        <w:rPr>
          <w:rFonts w:ascii="Arial" w:cs="Arial" w:eastAsia="Arial" w:hAnsi="Arial"/>
          <w:sz w:val="22"/>
          <w:szCs w:val="22"/>
          <w:rtl w:val="0"/>
        </w:rPr>
        <w:t xml:space="preserve">on a SpectraMax M2 combination spectrophotometer and</w:t>
      </w:r>
      <w:r w:rsidDel="00000000" w:rsidR="00000000" w:rsidRPr="00000000">
        <w:rPr>
          <w:rFonts w:ascii="Arial" w:cs="Arial" w:eastAsia="Arial" w:hAnsi="Arial"/>
          <w:sz w:val="22"/>
          <w:szCs w:val="22"/>
          <w:rtl w:val="0"/>
        </w:rPr>
        <w:t xml:space="preserve"> microplate reader</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2F">
      <w:pPr>
        <w:pageBreakBefore w:val="0"/>
        <w:spacing w:line="480" w:lineRule="auto"/>
        <w:ind w:firstLine="72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 detailed description of our protocols can be found in Appendix 1. Total protein content was measured using the Thermo Scientific</w:t>
      </w:r>
      <w:r w:rsidDel="00000000" w:rsidR="00000000" w:rsidRPr="00000000">
        <w:rPr>
          <w:rFonts w:ascii="Arial" w:cs="Arial" w:eastAsia="Arial" w:hAnsi="Arial"/>
          <w:color w:val="000000"/>
          <w:sz w:val="22"/>
          <w:szCs w:val="22"/>
          <w:vertAlign w:val="superscript"/>
          <w:rtl w:val="0"/>
        </w:rPr>
        <w:t xml:space="preserve">  </w:t>
      </w:r>
      <w:r w:rsidDel="00000000" w:rsidR="00000000" w:rsidRPr="00000000">
        <w:rPr>
          <w:rFonts w:ascii="Arial" w:cs="Arial" w:eastAsia="Arial" w:hAnsi="Arial"/>
          <w:color w:val="000000"/>
          <w:sz w:val="22"/>
          <w:szCs w:val="22"/>
          <w:rtl w:val="0"/>
        </w:rPr>
        <w:t xml:space="preserve">Pierce</w:t>
      </w:r>
      <w:r w:rsidDel="00000000" w:rsidR="00000000" w:rsidRPr="00000000">
        <w:rPr>
          <w:rFonts w:ascii="Arial" w:cs="Arial" w:eastAsia="Arial" w:hAnsi="Arial"/>
          <w:color w:val="000000"/>
          <w:sz w:val="22"/>
          <w:szCs w:val="22"/>
          <w:vertAlign w:val="superscript"/>
          <w:rtl w:val="0"/>
        </w:rPr>
        <w:t xml:space="preserve">TM</w:t>
      </w:r>
      <w:r w:rsidDel="00000000" w:rsidR="00000000" w:rsidRPr="00000000">
        <w:rPr>
          <w:rFonts w:ascii="Arial" w:cs="Arial" w:eastAsia="Arial" w:hAnsi="Arial"/>
          <w:color w:val="000000"/>
          <w:sz w:val="22"/>
          <w:szCs w:val="22"/>
          <w:rtl w:val="0"/>
        </w:rPr>
        <w:t xml:space="preserve"> BCA Protein Assay Kit (Product number: 23337) according to manufacturer instructions for microplate samples and was included to test the efficacy of our protein extraction buffer.  </w:t>
      </w:r>
      <w:r w:rsidDel="00000000" w:rsidR="00000000" w:rsidRPr="00000000">
        <w:rPr>
          <w:rFonts w:ascii="Arial" w:cs="Arial" w:eastAsia="Arial" w:hAnsi="Arial"/>
          <w:color w:val="222222"/>
          <w:sz w:val="22"/>
          <w:szCs w:val="22"/>
          <w:highlight w:val="white"/>
          <w:rtl w:val="0"/>
        </w:rPr>
        <w:t xml:space="preserve">Polyphenol oxidase (PPO) and peroxidase (POD), the two enzymes assayed, underwent similar modifications during the scaling process. Previous protocols required between 0.025 mL to 0.100 mL of 1X crude extract to be assayed in a final volume of between 2.5 mL and 3.1 mL of solution [8,9]</w:t>
      </w:r>
      <w:r w:rsidDel="00000000" w:rsidR="00000000" w:rsidRPr="00000000">
        <w:rPr>
          <w:rFonts w:ascii="Arial" w:cs="Arial" w:eastAsia="Arial" w:hAnsi="Arial"/>
          <w:color w:val="000000"/>
          <w:sz w:val="22"/>
          <w:szCs w:val="22"/>
          <w:rtl w:val="0"/>
        </w:rPr>
        <w:t xml:space="preserve">. When scaling our total assay volumes down to fit the requirements of a standard 96-well microplate the volumes were reduced ~100 fold. POD activity was measured in triplicate for each sample and also included a tissue specific control. Wells of the microplate designated as treatment wells received 143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w:t>
      </w:r>
      <w:r w:rsidDel="00000000" w:rsidR="00000000" w:rsidRPr="00000000">
        <w:rPr>
          <w:rFonts w:ascii="Arial" w:cs="Arial" w:eastAsia="Arial" w:hAnsi="Arial"/>
          <w:color w:val="000000"/>
          <w:sz w:val="22"/>
          <w:szCs w:val="22"/>
          <w:rtl w:val="0"/>
        </w:rPr>
        <w:t xml:space="preserve">of peroxidase reaction buffer (100 mM sodium phosphate buffer (pH 6.5) containing 5 mM guaiacol). </w:t>
      </w:r>
      <w:r w:rsidDel="00000000" w:rsidR="00000000" w:rsidRPr="00000000">
        <w:rPr>
          <w:rFonts w:ascii="Arial" w:cs="Arial" w:eastAsia="Arial" w:hAnsi="Arial"/>
          <w:sz w:val="22"/>
          <w:szCs w:val="22"/>
          <w:rtl w:val="0"/>
        </w:rPr>
        <w:t xml:space="preserve">Control </w:t>
      </w:r>
      <w:r w:rsidDel="00000000" w:rsidR="00000000" w:rsidRPr="00000000">
        <w:rPr>
          <w:rFonts w:ascii="Arial" w:cs="Arial" w:eastAsia="Arial" w:hAnsi="Arial"/>
          <w:color w:val="000000"/>
          <w:sz w:val="22"/>
          <w:szCs w:val="22"/>
          <w:rtl w:val="0"/>
        </w:rPr>
        <w:t xml:space="preserve">wells received 143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100 mM sodium phosphate buffer (ph 6.5). 25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supernatant (enzyme source) was added to each well.  We then added 32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5 mM H</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O</w:t>
      </w:r>
      <w:r w:rsidDel="00000000" w:rsidR="00000000" w:rsidRPr="00000000">
        <w:rPr>
          <w:rFonts w:ascii="Arial" w:cs="Arial" w:eastAsia="Arial" w:hAnsi="Arial"/>
          <w:color w:val="000000"/>
          <w:sz w:val="22"/>
          <w:szCs w:val="22"/>
          <w:vertAlign w:val="subscript"/>
          <w:rtl w:val="0"/>
        </w:rPr>
        <w:t xml:space="preserve">2  </w:t>
      </w:r>
      <w:r w:rsidDel="00000000" w:rsidR="00000000" w:rsidRPr="00000000">
        <w:rPr>
          <w:rFonts w:ascii="Arial" w:cs="Arial" w:eastAsia="Arial" w:hAnsi="Arial"/>
          <w:color w:val="000000"/>
          <w:sz w:val="22"/>
          <w:szCs w:val="22"/>
          <w:rtl w:val="0"/>
        </w:rPr>
        <w:t xml:space="preserve">(final concentration 0.8 mM)  to start the reaction. </w:t>
      </w:r>
      <w:r w:rsidDel="00000000" w:rsidR="00000000" w:rsidRPr="00000000">
        <w:rPr>
          <w:rFonts w:ascii="Arial" w:cs="Arial" w:eastAsia="Arial" w:hAnsi="Arial"/>
          <w:sz w:val="22"/>
          <w:szCs w:val="22"/>
          <w:rtl w:val="0"/>
        </w:rPr>
        <w:t xml:space="preserve">P</w:t>
      </w:r>
      <w:r w:rsidDel="00000000" w:rsidR="00000000" w:rsidRPr="00000000">
        <w:rPr>
          <w:rFonts w:ascii="Arial" w:cs="Arial" w:eastAsia="Arial" w:hAnsi="Arial"/>
          <w:color w:val="000000"/>
          <w:sz w:val="22"/>
          <w:szCs w:val="22"/>
          <w:rtl w:val="0"/>
        </w:rPr>
        <w:t xml:space="preserve">lates were incubated in the dark for 15 minutes at room temperature before reading absorbance values at 470 nm. </w:t>
      </w:r>
      <w:r w:rsidDel="00000000" w:rsidR="00000000" w:rsidRPr="00000000">
        <w:rPr>
          <w:rFonts w:ascii="Arial" w:cs="Arial" w:eastAsia="Arial" w:hAnsi="Arial"/>
          <w:color w:val="000000"/>
          <w:sz w:val="22"/>
          <w:szCs w:val="22"/>
          <w:rtl w:val="0"/>
        </w:rPr>
        <w:t xml:space="preserve">PPO activity </w:t>
      </w:r>
      <w:r w:rsidDel="00000000" w:rsidR="00000000" w:rsidRPr="00000000">
        <w:rPr>
          <w:rFonts w:ascii="Arial" w:cs="Arial" w:eastAsia="Arial" w:hAnsi="Arial"/>
          <w:color w:val="000000"/>
          <w:sz w:val="22"/>
          <w:szCs w:val="22"/>
          <w:rtl w:val="0"/>
        </w:rPr>
        <w:t xml:space="preserve">was also measured in triplicate per sample (biological replicate) with a tissue specific control. </w:t>
      </w:r>
      <w:r w:rsidDel="00000000" w:rsidR="00000000" w:rsidRPr="00000000">
        <w:rPr>
          <w:rFonts w:ascii="Arial" w:cs="Arial" w:eastAsia="Arial" w:hAnsi="Arial"/>
          <w:sz w:val="22"/>
          <w:szCs w:val="22"/>
          <w:rtl w:val="0"/>
        </w:rPr>
        <w:t xml:space="preserve">Sample w</w:t>
      </w:r>
      <w:r w:rsidDel="00000000" w:rsidR="00000000" w:rsidRPr="00000000">
        <w:rPr>
          <w:rFonts w:ascii="Arial" w:cs="Arial" w:eastAsia="Arial" w:hAnsi="Arial"/>
          <w:color w:val="000000"/>
          <w:sz w:val="22"/>
          <w:szCs w:val="22"/>
          <w:rtl w:val="0"/>
        </w:rPr>
        <w:t xml:space="preserve">ells received 115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100 mM sodium phosphate buffer (pH 6.8) and </w:t>
      </w:r>
      <w:r w:rsidDel="00000000" w:rsidR="00000000" w:rsidRPr="00000000">
        <w:rPr>
          <w:rFonts w:ascii="Arial" w:cs="Arial" w:eastAsia="Arial" w:hAnsi="Arial"/>
          <w:color w:val="000000"/>
          <w:sz w:val="22"/>
          <w:szCs w:val="22"/>
          <w:highlight w:val="white"/>
          <w:rtl w:val="0"/>
        </w:rPr>
        <w:t xml:space="preserve">60</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50 mM pyrocatechol. Control wells received </w:t>
      </w:r>
      <w:r w:rsidDel="00000000" w:rsidR="00000000" w:rsidRPr="00000000">
        <w:rPr>
          <w:rFonts w:ascii="Arial" w:cs="Arial" w:eastAsia="Arial" w:hAnsi="Arial"/>
          <w:color w:val="000000"/>
          <w:sz w:val="22"/>
          <w:szCs w:val="22"/>
          <w:highlight w:val="white"/>
          <w:rtl w:val="0"/>
        </w:rPr>
        <w:t xml:space="preserve">175</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100 mM sodium phosphate buffer (pH 6.8). 25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supernatant (enzyme source) was added to all wells. Samples were incubated for 5 minutes before reading absorbance values at 420 nm. </w:t>
      </w:r>
      <w:r w:rsidDel="00000000" w:rsidR="00000000" w:rsidRPr="00000000">
        <w:rPr>
          <w:rFonts w:ascii="Arial" w:cs="Arial" w:eastAsia="Arial" w:hAnsi="Arial"/>
          <w:color w:val="000000"/>
          <w:sz w:val="22"/>
          <w:szCs w:val="22"/>
          <w:rtl w:val="0"/>
        </w:rPr>
        <w:t xml:space="preserve">Proteinase </w:t>
      </w:r>
      <w:r w:rsidDel="00000000" w:rsidR="00000000" w:rsidRPr="00000000">
        <w:rPr>
          <w:rFonts w:ascii="Arial" w:cs="Arial" w:eastAsia="Arial" w:hAnsi="Arial"/>
          <w:sz w:val="22"/>
          <w:szCs w:val="22"/>
          <w:rtl w:val="0"/>
        </w:rPr>
        <w:t xml:space="preserve">i</w:t>
      </w:r>
      <w:r w:rsidDel="00000000" w:rsidR="00000000" w:rsidRPr="00000000">
        <w:rPr>
          <w:rFonts w:ascii="Arial" w:cs="Arial" w:eastAsia="Arial" w:hAnsi="Arial"/>
          <w:color w:val="000000"/>
          <w:sz w:val="22"/>
          <w:szCs w:val="22"/>
          <w:rtl w:val="0"/>
        </w:rPr>
        <w:t xml:space="preserve">nhibition activity </w:t>
      </w:r>
      <w:r w:rsidDel="00000000" w:rsidR="00000000" w:rsidRPr="00000000">
        <w:rPr>
          <w:rFonts w:ascii="Arial" w:cs="Arial" w:eastAsia="Arial" w:hAnsi="Arial"/>
          <w:color w:val="000000"/>
          <w:sz w:val="22"/>
          <w:szCs w:val="22"/>
          <w:rtl w:val="0"/>
        </w:rPr>
        <w:t xml:space="preserve">was quantified using an adapted method from [</w:t>
      </w:r>
      <w:r w:rsidDel="00000000" w:rsidR="00000000" w:rsidRPr="00000000">
        <w:rPr>
          <w:rFonts w:ascii="Arial" w:cs="Arial" w:eastAsia="Arial" w:hAnsi="Arial"/>
          <w:sz w:val="22"/>
          <w:szCs w:val="22"/>
          <w:rtl w:val="0"/>
        </w:rPr>
        <w:t xml:space="preserve">1</w:t>
      </w:r>
      <w:r w:rsidDel="00000000" w:rsidR="00000000" w:rsidRPr="00000000">
        <w:rPr>
          <w:rFonts w:ascii="Arial" w:cs="Arial" w:eastAsia="Arial" w:hAnsi="Arial"/>
          <w:color w:val="000000"/>
          <w:sz w:val="22"/>
          <w:szCs w:val="22"/>
          <w:rtl w:val="0"/>
        </w:rPr>
        <w:t xml:space="preserve">0] where activity is represented by the inhibition of trypsin. This assay requires the preparation of two reaction buffers per sample. Reaction buffer 1 was prepared in tubes with 133.3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Trizma Base buffer, 83.3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2% azocasein dissolved in Trizma Base buffer, and 33.3 uL of 0.001 M HCl solution containing 200 ng of trypsin. Reaction buffer 2 was the same as reaction buffer 1, but additional Trizma base was substituted for the trypsin solution. 100 </w:t>
      </w:r>
      <w:r w:rsidDel="00000000" w:rsidR="00000000" w:rsidRPr="00000000">
        <w:rPr>
          <w:rFonts w:ascii="Arial" w:cs="Arial" w:eastAsia="Arial" w:hAnsi="Arial"/>
          <w:sz w:val="22"/>
          <w:szCs w:val="22"/>
          <w:rtl w:val="0"/>
        </w:rPr>
        <w:t xml:space="preserve">µL</w:t>
      </w:r>
      <w:r w:rsidDel="00000000" w:rsidR="00000000" w:rsidRPr="00000000">
        <w:rPr>
          <w:rFonts w:ascii="Arial" w:cs="Arial" w:eastAsia="Arial" w:hAnsi="Arial"/>
          <w:color w:val="000000"/>
          <w:sz w:val="22"/>
          <w:szCs w:val="22"/>
          <w:rtl w:val="0"/>
        </w:rPr>
        <w:t xml:space="preserve"> of the sample extract was added to each tube. These serve as the sample measurement tube and the sample control tube. Reaction buffers 1 and 2 were used for positive and negative assay controls, respectively. The assay controls received 100 </w:t>
      </w:r>
      <w:r w:rsidDel="00000000" w:rsidR="00000000" w:rsidRPr="00000000">
        <w:rPr>
          <w:rFonts w:ascii="Arial" w:cs="Arial" w:eastAsia="Arial" w:hAnsi="Arial"/>
          <w:sz w:val="22"/>
          <w:szCs w:val="22"/>
          <w:rtl w:val="0"/>
        </w:rPr>
        <w:t xml:space="preserve">µL</w:t>
      </w:r>
      <w:r w:rsidDel="00000000" w:rsidR="00000000" w:rsidRPr="00000000">
        <w:rPr>
          <w:rFonts w:ascii="Arial" w:cs="Arial" w:eastAsia="Arial" w:hAnsi="Arial"/>
          <w:color w:val="000000"/>
          <w:sz w:val="22"/>
          <w:szCs w:val="22"/>
          <w:rtl w:val="0"/>
        </w:rPr>
        <w:t xml:space="preserve"> of Trizma base instead of enzyme source. All tubes were incubated at 30°C for 25 minutes. Post-incubation, 133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100% w/v TCA was added and tubes were centrifuged at 8000 rpm for 10 minutes. After centrifugation, 100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the supernatant were added to wells of a microplate that contained 100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1M NaOH and absorbance was measured at 450 nm. As with the other assays, samples were run in triplicate. </w:t>
      </w:r>
      <w:r w:rsidDel="00000000" w:rsidR="00000000" w:rsidRPr="00000000">
        <w:rPr>
          <w:rFonts w:ascii="Arial" w:cs="Arial" w:eastAsia="Arial" w:hAnsi="Arial"/>
          <w:sz w:val="22"/>
          <w:szCs w:val="22"/>
          <w:rtl w:val="0"/>
        </w:rPr>
        <w:t xml:space="preserve">The </w:t>
      </w:r>
      <w:r w:rsidDel="00000000" w:rsidR="00000000" w:rsidRPr="00000000">
        <w:rPr>
          <w:rFonts w:ascii="Arial" w:cs="Arial" w:eastAsia="Arial" w:hAnsi="Arial"/>
          <w:color w:val="000000"/>
          <w:sz w:val="22"/>
          <w:szCs w:val="22"/>
          <w:rtl w:val="0"/>
        </w:rPr>
        <w:t xml:space="preserve">hydrogen peroxide </w:t>
      </w:r>
      <w:r w:rsidDel="00000000" w:rsidR="00000000" w:rsidRPr="00000000">
        <w:rPr>
          <w:rFonts w:ascii="Arial" w:cs="Arial" w:eastAsia="Arial" w:hAnsi="Arial"/>
          <w:sz w:val="22"/>
          <w:szCs w:val="22"/>
          <w:rtl w:val="0"/>
        </w:rPr>
        <w:t xml:space="preserve">q</w:t>
      </w:r>
      <w:r w:rsidDel="00000000" w:rsidR="00000000" w:rsidRPr="00000000">
        <w:rPr>
          <w:rFonts w:ascii="Arial" w:cs="Arial" w:eastAsia="Arial" w:hAnsi="Arial"/>
          <w:sz w:val="22"/>
          <w:szCs w:val="22"/>
          <w:rtl w:val="0"/>
        </w:rPr>
        <w:t xml:space="preserve">uantification</w:t>
      </w:r>
      <w:r w:rsidDel="00000000" w:rsidR="00000000" w:rsidRPr="00000000">
        <w:rPr>
          <w:rFonts w:ascii="Arial" w:cs="Arial" w:eastAsia="Arial" w:hAnsi="Arial"/>
          <w:color w:val="000000"/>
          <w:sz w:val="22"/>
          <w:szCs w:val="22"/>
          <w:rtl w:val="0"/>
        </w:rPr>
        <w:t xml:space="preserve"> assay (H</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O</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 was implemented with few modifications. </w:t>
      </w:r>
      <w:r w:rsidDel="00000000" w:rsidR="00000000" w:rsidRPr="00000000">
        <w:rPr>
          <w:rFonts w:ascii="Arial" w:cs="Arial" w:eastAsia="Arial" w:hAnsi="Arial"/>
          <w:sz w:val="22"/>
          <w:szCs w:val="22"/>
          <w:rtl w:val="0"/>
        </w:rPr>
        <w:t xml:space="preserve">The </w:t>
      </w:r>
      <w:r w:rsidDel="00000000" w:rsidR="00000000" w:rsidRPr="00000000">
        <w:rPr>
          <w:rFonts w:ascii="Arial" w:cs="Arial" w:eastAsia="Arial" w:hAnsi="Arial"/>
          <w:color w:val="000000"/>
          <w:sz w:val="22"/>
          <w:szCs w:val="22"/>
          <w:rtl w:val="0"/>
        </w:rPr>
        <w:t xml:space="preserve">primary change was to the measurement wavelength. As measured in [</w:t>
      </w:r>
      <w:r w:rsidDel="00000000" w:rsidR="00000000" w:rsidRPr="00000000">
        <w:rPr>
          <w:rFonts w:ascii="Arial" w:cs="Arial" w:eastAsia="Arial" w:hAnsi="Arial"/>
          <w:sz w:val="22"/>
          <w:szCs w:val="22"/>
          <w:rtl w:val="0"/>
        </w:rPr>
        <w:t xml:space="preserve">6</w:t>
      </w:r>
      <w:r w:rsidDel="00000000" w:rsidR="00000000" w:rsidRPr="00000000">
        <w:rPr>
          <w:rFonts w:ascii="Arial" w:cs="Arial" w:eastAsia="Arial" w:hAnsi="Arial"/>
          <w:color w:val="000000"/>
          <w:sz w:val="22"/>
          <w:szCs w:val="22"/>
          <w:rtl w:val="0"/>
        </w:rPr>
        <w:t xml:space="preserve">], the triiodide produced as a result of the reaction mechanism has optimal absorbance at 285 nm with significant differences able to be determined at wavelengths up to 410 nm. We selected 390 nm due to previously published H</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O</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 assays [</w:t>
      </w:r>
      <w:r w:rsidDel="00000000" w:rsidR="00000000" w:rsidRPr="00000000">
        <w:rPr>
          <w:rFonts w:ascii="Arial" w:cs="Arial" w:eastAsia="Arial" w:hAnsi="Arial"/>
          <w:sz w:val="22"/>
          <w:szCs w:val="22"/>
          <w:rtl w:val="0"/>
        </w:rPr>
        <w:t xml:space="preserve">6</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1</w:t>
      </w:r>
      <w:r w:rsidDel="00000000" w:rsidR="00000000" w:rsidRPr="00000000">
        <w:rPr>
          <w:rFonts w:ascii="Arial" w:cs="Arial" w:eastAsia="Arial" w:hAnsi="Arial"/>
          <w:color w:val="000000"/>
          <w:sz w:val="22"/>
          <w:szCs w:val="22"/>
          <w:rtl w:val="0"/>
        </w:rPr>
        <w:t xml:space="preserve">1], and the results of </w:t>
      </w:r>
      <w:r w:rsidDel="00000000" w:rsidR="00000000" w:rsidRPr="00000000">
        <w:rPr>
          <w:rFonts w:ascii="Arial" w:cs="Arial" w:eastAsia="Arial" w:hAnsi="Arial"/>
          <w:sz w:val="22"/>
          <w:szCs w:val="22"/>
          <w:rtl w:val="0"/>
        </w:rPr>
        <w:t xml:space="preserve">our</w:t>
      </w:r>
      <w:r w:rsidDel="00000000" w:rsidR="00000000" w:rsidRPr="00000000">
        <w:rPr>
          <w:rFonts w:ascii="Arial" w:cs="Arial" w:eastAsia="Arial" w:hAnsi="Arial"/>
          <w:color w:val="000000"/>
          <w:sz w:val="22"/>
          <w:szCs w:val="22"/>
          <w:rtl w:val="0"/>
        </w:rPr>
        <w:t xml:space="preserve"> spectral scan that indicated no significant differences in absorbance values at 390 nm relative to surrounding wavelengths (t</w:t>
      </w:r>
      <w:r w:rsidDel="00000000" w:rsidR="00000000" w:rsidRPr="00000000">
        <w:rPr>
          <w:rFonts w:ascii="Arial" w:cs="Arial" w:eastAsia="Arial" w:hAnsi="Arial"/>
          <w:color w:val="000000"/>
          <w:sz w:val="22"/>
          <w:szCs w:val="22"/>
          <w:vertAlign w:val="subscript"/>
          <w:rtl w:val="0"/>
        </w:rPr>
        <w:t xml:space="preserve">(5)</w:t>
      </w:r>
      <w:r w:rsidDel="00000000" w:rsidR="00000000" w:rsidRPr="00000000">
        <w:rPr>
          <w:rFonts w:ascii="Arial" w:cs="Arial" w:eastAsia="Arial" w:hAnsi="Arial"/>
          <w:color w:val="000000"/>
          <w:sz w:val="22"/>
          <w:szCs w:val="22"/>
          <w:rtl w:val="0"/>
        </w:rPr>
        <w:t xml:space="preserve"> = -1.608, p = 0.169) and the fact that 285 nm is cleanly in the ultraviolet range which requires special plates for to avoid issues of interference from the standard polymers used in 96-well plates. Our measurements at 390 nm in standard plates yielded data consistent with previous results showing H</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O</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 induction by herbivores. Sample aliquots were taken from the 0.1% TCA buffer extraction. </w:t>
      </w:r>
      <w:r w:rsidDel="00000000" w:rsidR="00000000" w:rsidRPr="00000000">
        <w:rPr>
          <w:rFonts w:ascii="Arial" w:cs="Arial" w:eastAsia="Arial" w:hAnsi="Arial"/>
          <w:sz w:val="22"/>
          <w:szCs w:val="22"/>
          <w:rtl w:val="0"/>
        </w:rPr>
        <w:t xml:space="preserve">S</w:t>
      </w:r>
      <w:r w:rsidDel="00000000" w:rsidR="00000000" w:rsidRPr="00000000">
        <w:rPr>
          <w:rFonts w:ascii="Arial" w:cs="Arial" w:eastAsia="Arial" w:hAnsi="Arial"/>
          <w:color w:val="000000"/>
          <w:sz w:val="22"/>
          <w:szCs w:val="22"/>
          <w:rtl w:val="0"/>
        </w:rPr>
        <w:t xml:space="preserve">ample wells received 100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1M potassium iodide (KI), 50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10mM </w:t>
      </w:r>
      <w:r w:rsidDel="00000000" w:rsidR="00000000" w:rsidRPr="00000000">
        <w:rPr>
          <w:rFonts w:ascii="Arial" w:cs="Arial" w:eastAsia="Arial" w:hAnsi="Arial"/>
          <w:sz w:val="22"/>
          <w:szCs w:val="22"/>
          <w:rtl w:val="0"/>
        </w:rPr>
        <w:t xml:space="preserve">p</w:t>
      </w:r>
      <w:r w:rsidDel="00000000" w:rsidR="00000000" w:rsidRPr="00000000">
        <w:rPr>
          <w:rFonts w:ascii="Arial" w:cs="Arial" w:eastAsia="Arial" w:hAnsi="Arial"/>
          <w:color w:val="000000"/>
          <w:sz w:val="22"/>
          <w:szCs w:val="22"/>
          <w:rtl w:val="0"/>
        </w:rPr>
        <w:t xml:space="preserve">otassium </w:t>
      </w:r>
      <w:r w:rsidDel="00000000" w:rsidR="00000000" w:rsidRPr="00000000">
        <w:rPr>
          <w:rFonts w:ascii="Arial" w:cs="Arial" w:eastAsia="Arial" w:hAnsi="Arial"/>
          <w:sz w:val="22"/>
          <w:szCs w:val="22"/>
          <w:rtl w:val="0"/>
        </w:rPr>
        <w:t xml:space="preserve">p</w:t>
      </w:r>
      <w:r w:rsidDel="00000000" w:rsidR="00000000" w:rsidRPr="00000000">
        <w:rPr>
          <w:rFonts w:ascii="Arial" w:cs="Arial" w:eastAsia="Arial" w:hAnsi="Arial"/>
          <w:color w:val="000000"/>
          <w:sz w:val="22"/>
          <w:szCs w:val="22"/>
          <w:rtl w:val="0"/>
        </w:rPr>
        <w:t xml:space="preserve">hosphate buffer (pH 6.5), and 50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sample aliquot. Control wells received 100 uL of dH</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O, 50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10mM </w:t>
      </w:r>
      <w:r w:rsidDel="00000000" w:rsidR="00000000" w:rsidRPr="00000000">
        <w:rPr>
          <w:rFonts w:ascii="Arial" w:cs="Arial" w:eastAsia="Arial" w:hAnsi="Arial"/>
          <w:sz w:val="22"/>
          <w:szCs w:val="22"/>
          <w:rtl w:val="0"/>
        </w:rPr>
        <w:t xml:space="preserve">p</w:t>
      </w:r>
      <w:r w:rsidDel="00000000" w:rsidR="00000000" w:rsidRPr="00000000">
        <w:rPr>
          <w:rFonts w:ascii="Arial" w:cs="Arial" w:eastAsia="Arial" w:hAnsi="Arial"/>
          <w:color w:val="000000"/>
          <w:sz w:val="22"/>
          <w:szCs w:val="22"/>
          <w:rtl w:val="0"/>
        </w:rPr>
        <w:t xml:space="preserve">otassium </w:t>
      </w:r>
      <w:r w:rsidDel="00000000" w:rsidR="00000000" w:rsidRPr="00000000">
        <w:rPr>
          <w:rFonts w:ascii="Arial" w:cs="Arial" w:eastAsia="Arial" w:hAnsi="Arial"/>
          <w:sz w:val="22"/>
          <w:szCs w:val="22"/>
          <w:rtl w:val="0"/>
        </w:rPr>
        <w:t xml:space="preserve">p</w:t>
      </w:r>
      <w:r w:rsidDel="00000000" w:rsidR="00000000" w:rsidRPr="00000000">
        <w:rPr>
          <w:rFonts w:ascii="Arial" w:cs="Arial" w:eastAsia="Arial" w:hAnsi="Arial"/>
          <w:color w:val="000000"/>
          <w:sz w:val="22"/>
          <w:szCs w:val="22"/>
          <w:rtl w:val="0"/>
        </w:rPr>
        <w:t xml:space="preserve">hosphate buffer (pH 6.5), and 50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sample aliquot to account for tissue coloration. Samples were incubated in the dark for 20 minutes at room temperature. A standard curve was prepared by preparing wells with 100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1M potassium iodide (KI), 50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10mM </w:t>
      </w:r>
      <w:r w:rsidDel="00000000" w:rsidR="00000000" w:rsidRPr="00000000">
        <w:rPr>
          <w:rFonts w:ascii="Arial" w:cs="Arial" w:eastAsia="Arial" w:hAnsi="Arial"/>
          <w:sz w:val="22"/>
          <w:szCs w:val="22"/>
          <w:rtl w:val="0"/>
        </w:rPr>
        <w:t xml:space="preserve">p</w:t>
      </w:r>
      <w:r w:rsidDel="00000000" w:rsidR="00000000" w:rsidRPr="00000000">
        <w:rPr>
          <w:rFonts w:ascii="Arial" w:cs="Arial" w:eastAsia="Arial" w:hAnsi="Arial"/>
          <w:color w:val="000000"/>
          <w:sz w:val="22"/>
          <w:szCs w:val="22"/>
          <w:rtl w:val="0"/>
        </w:rPr>
        <w:t xml:space="preserve">otassium </w:t>
      </w:r>
      <w:r w:rsidDel="00000000" w:rsidR="00000000" w:rsidRPr="00000000">
        <w:rPr>
          <w:rFonts w:ascii="Arial" w:cs="Arial" w:eastAsia="Arial" w:hAnsi="Arial"/>
          <w:sz w:val="22"/>
          <w:szCs w:val="22"/>
          <w:rtl w:val="0"/>
        </w:rPr>
        <w:t xml:space="preserve">p</w:t>
      </w:r>
      <w:r w:rsidDel="00000000" w:rsidR="00000000" w:rsidRPr="00000000">
        <w:rPr>
          <w:rFonts w:ascii="Arial" w:cs="Arial" w:eastAsia="Arial" w:hAnsi="Arial"/>
          <w:color w:val="000000"/>
          <w:sz w:val="22"/>
          <w:szCs w:val="22"/>
          <w:rtl w:val="0"/>
        </w:rPr>
        <w:t xml:space="preserve">hosphate</w:t>
      </w:r>
      <w:r w:rsidDel="00000000" w:rsidR="00000000" w:rsidRPr="00000000">
        <w:rPr>
          <w:rFonts w:ascii="Arial" w:cs="Arial" w:eastAsia="Arial" w:hAnsi="Arial"/>
          <w:color w:val="000000"/>
          <w:sz w:val="22"/>
          <w:szCs w:val="22"/>
          <w:rtl w:val="0"/>
        </w:rPr>
        <w:t xml:space="preserve"> buffer (pH 6.5), and 50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0.1% TCA then seeding with known amounts (5-20 nmoles) of H</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O</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 Absorbance was measured at 390 nm and values were compared to the standard curve for quantification in nanomoles.</w:t>
      </w:r>
    </w:p>
    <w:p w:rsidR="00000000" w:rsidDel="00000000" w:rsidP="00000000" w:rsidRDefault="00000000" w:rsidRPr="00000000" w14:paraId="00000030">
      <w:pPr>
        <w:pageBreakBefore w:val="0"/>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pageBreakBefore w:val="0"/>
        <w:spacing w:line="48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Protocol Validation</w:t>
      </w:r>
    </w:p>
    <w:p w:rsidR="00000000" w:rsidDel="00000000" w:rsidP="00000000" w:rsidRDefault="00000000" w:rsidRPr="00000000" w14:paraId="00000032">
      <w:pPr>
        <w:pageBreakBefore w:val="0"/>
        <w:spacing w:line="4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success of our protocol hinges on three points that we address through different validation methods. First, we validated that our assay is able to accurately quantify the same amount of enzyme activity compared to assays run using a spectrophotometer. </w:t>
      </w:r>
      <w:r w:rsidDel="00000000" w:rsidR="00000000" w:rsidRPr="00000000">
        <w:rPr>
          <w:rFonts w:ascii="Arial" w:cs="Arial" w:eastAsia="Arial" w:hAnsi="Arial"/>
          <w:sz w:val="22"/>
          <w:szCs w:val="22"/>
          <w:rtl w:val="0"/>
        </w:rPr>
        <w:t xml:space="preserve">We</w:t>
      </w:r>
      <w:r w:rsidDel="00000000" w:rsidR="00000000" w:rsidRPr="00000000">
        <w:rPr>
          <w:rFonts w:ascii="Arial" w:cs="Arial" w:eastAsia="Arial" w:hAnsi="Arial"/>
          <w:color w:val="000000"/>
          <w:sz w:val="22"/>
          <w:szCs w:val="22"/>
          <w:rtl w:val="0"/>
        </w:rPr>
        <w:t xml:space="preserve"> focused on our POD and PPO assays given these were the most modified protocols. For each assay we generated standard curves from enzymes obtained from Worthington Biochemical Corporation (USA). Horseradish peroxidase with an activity of 220 U/mg dry </w:t>
      </w:r>
      <w:r w:rsidDel="00000000" w:rsidR="00000000" w:rsidRPr="00000000">
        <w:rPr>
          <w:rFonts w:ascii="Arial" w:cs="Arial" w:eastAsia="Arial" w:hAnsi="Arial"/>
          <w:sz w:val="22"/>
          <w:szCs w:val="22"/>
          <w:rtl w:val="0"/>
        </w:rPr>
        <w:t xml:space="preserve">mass</w:t>
      </w:r>
      <w:r w:rsidDel="00000000" w:rsidR="00000000" w:rsidRPr="00000000">
        <w:rPr>
          <w:rFonts w:ascii="Arial" w:cs="Arial" w:eastAsia="Arial" w:hAnsi="Arial"/>
          <w:color w:val="000000"/>
          <w:sz w:val="22"/>
          <w:szCs w:val="22"/>
          <w:rtl w:val="0"/>
        </w:rPr>
        <w:t xml:space="preserve"> was diluted to a stock concentration of of 100 mU/m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 in PE buffer. </w:t>
      </w:r>
      <w:r w:rsidDel="00000000" w:rsidR="00000000" w:rsidRPr="00000000">
        <w:rPr>
          <w:rFonts w:ascii="Arial" w:cs="Arial" w:eastAsia="Arial" w:hAnsi="Arial"/>
          <w:sz w:val="22"/>
          <w:szCs w:val="22"/>
          <w:rtl w:val="0"/>
        </w:rPr>
        <w:t xml:space="preserve">Standard curves were used to verify that the protocol was detecting analyte quantities within the detection limits of the machines used for absorbance measurements (Figure 1).  </w:t>
      </w:r>
      <w:r w:rsidDel="00000000" w:rsidR="00000000" w:rsidRPr="00000000">
        <w:rPr>
          <w:rFonts w:ascii="Arial" w:cs="Arial" w:eastAsia="Arial" w:hAnsi="Arial"/>
          <w:color w:val="000000"/>
          <w:sz w:val="22"/>
          <w:szCs w:val="22"/>
          <w:rtl w:val="0"/>
        </w:rPr>
        <w:t xml:space="preserve">Serial dilutions were performed to get the concentration values as follows: 100 mU/m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 50 mU/m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 25 mU/m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 10 mU/m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 5 mU/m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 2</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000000"/>
          <w:sz w:val="22"/>
          <w:szCs w:val="22"/>
          <w:rtl w:val="0"/>
        </w:rPr>
        <w:t xml:space="preserve">5 mU/m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 1.25 mU/m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 0.625 mU/m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 and 0 mU/m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 Mushroom polyphenol oxidase with an activity of 630 U/mg dry </w:t>
      </w:r>
      <w:r w:rsidDel="00000000" w:rsidR="00000000" w:rsidRPr="00000000">
        <w:rPr>
          <w:rFonts w:ascii="Arial" w:cs="Arial" w:eastAsia="Arial" w:hAnsi="Arial"/>
          <w:sz w:val="22"/>
          <w:szCs w:val="22"/>
          <w:rtl w:val="0"/>
        </w:rPr>
        <w:t xml:space="preserve">mass</w:t>
      </w:r>
      <w:r w:rsidDel="00000000" w:rsidR="00000000" w:rsidRPr="00000000">
        <w:rPr>
          <w:rFonts w:ascii="Arial" w:cs="Arial" w:eastAsia="Arial" w:hAnsi="Arial"/>
          <w:color w:val="000000"/>
          <w:sz w:val="22"/>
          <w:szCs w:val="22"/>
          <w:rtl w:val="0"/>
        </w:rPr>
        <w:t xml:space="preserve"> was diluted to a stock concentration of 100 U/m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 in PE buffer. Serial dilutions were performed to get the concentration values as follows: 1000 U/m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 500 U/m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 250 U/m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 125 U/m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 62.5 U/m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 31.625 U/m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 15.625 U/m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 7.81 U/ml, 3.91 U/m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 1.95 U/m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 0.977 U/m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 Absorbance values were measured using the SpectraMax M2 and the</w:t>
      </w:r>
      <w:r w:rsidDel="00000000" w:rsidR="00000000" w:rsidRPr="00000000">
        <w:rPr>
          <w:rFonts w:ascii="Arial" w:cs="Arial" w:eastAsia="Arial" w:hAnsi="Arial"/>
          <w:color w:val="000000"/>
          <w:sz w:val="22"/>
          <w:szCs w:val="22"/>
          <w:rtl w:val="0"/>
        </w:rPr>
        <w:t xml:space="preserve"> r2 values are similar for both standard curves (Fig 1). </w:t>
      </w:r>
      <w:r w:rsidDel="00000000" w:rsidR="00000000" w:rsidRPr="00000000">
        <w:rPr>
          <w:rtl w:val="0"/>
        </w:rPr>
      </w:r>
    </w:p>
    <w:p w:rsidR="00000000" w:rsidDel="00000000" w:rsidP="00000000" w:rsidRDefault="00000000" w:rsidRPr="00000000" w14:paraId="00000033">
      <w:pPr>
        <w:pageBreakBefore w:val="0"/>
        <w:spacing w:line="480" w:lineRule="auto"/>
        <w:ind w:firstLine="720"/>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Given the large quantities of tissue that are required for spectrophotometric based assays, researchers are often forced to pool tissue samples from different plants. Our microplate protocols require much smaller quantities of plant tissue, allowing us to measure each plant individually. We show that there is significant variation in expression both pre</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color w:val="000000"/>
          <w:sz w:val="22"/>
          <w:szCs w:val="22"/>
          <w:rtl w:val="0"/>
        </w:rPr>
        <w:t xml:space="preserve"> and p</w:t>
      </w:r>
      <w:r w:rsidDel="00000000" w:rsidR="00000000" w:rsidRPr="00000000">
        <w:rPr>
          <w:rFonts w:ascii="Arial" w:cs="Arial" w:eastAsia="Arial" w:hAnsi="Arial"/>
          <w:color w:val="000000"/>
          <w:sz w:val="22"/>
          <w:szCs w:val="22"/>
          <w:rtl w:val="0"/>
        </w:rPr>
        <w:t xml:space="preserve">ost</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color w:val="000000"/>
          <w:sz w:val="22"/>
          <w:szCs w:val="22"/>
          <w:rtl w:val="0"/>
        </w:rPr>
        <w:t xml:space="preserve">herbivory bet</w:t>
      </w:r>
      <w:r w:rsidDel="00000000" w:rsidR="00000000" w:rsidRPr="00000000">
        <w:rPr>
          <w:rFonts w:ascii="Arial" w:cs="Arial" w:eastAsia="Arial" w:hAnsi="Arial"/>
          <w:color w:val="000000"/>
          <w:sz w:val="22"/>
          <w:szCs w:val="22"/>
          <w:rtl w:val="0"/>
        </w:rPr>
        <w:t xml:space="preserve">ween the </w:t>
      </w:r>
      <w:r w:rsidDel="00000000" w:rsidR="00000000" w:rsidRPr="00000000">
        <w:rPr>
          <w:rFonts w:ascii="Arial" w:cs="Arial" w:eastAsia="Arial" w:hAnsi="Arial"/>
          <w:color w:val="000000"/>
          <w:sz w:val="22"/>
          <w:szCs w:val="22"/>
          <w:rtl w:val="0"/>
        </w:rPr>
        <w:t xml:space="preserve">five tomato plants </w:t>
      </w:r>
      <w:r w:rsidDel="00000000" w:rsidR="00000000" w:rsidRPr="00000000">
        <w:rPr>
          <w:rFonts w:ascii="Arial" w:cs="Arial" w:eastAsia="Arial" w:hAnsi="Arial"/>
          <w:sz w:val="22"/>
          <w:szCs w:val="22"/>
          <w:rtl w:val="0"/>
        </w:rPr>
        <w:t xml:space="preserve">of the same ecotype </w:t>
      </w:r>
      <w:r w:rsidDel="00000000" w:rsidR="00000000" w:rsidRPr="00000000">
        <w:rPr>
          <w:rFonts w:ascii="Arial" w:cs="Arial" w:eastAsia="Arial" w:hAnsi="Arial"/>
          <w:color w:val="000000"/>
          <w:sz w:val="22"/>
          <w:szCs w:val="22"/>
          <w:rtl w:val="0"/>
        </w:rPr>
        <w:t xml:space="preserve">used</w:t>
      </w:r>
      <w:r w:rsidDel="00000000" w:rsidR="00000000" w:rsidRPr="00000000">
        <w:rPr>
          <w:rFonts w:ascii="Arial" w:cs="Arial" w:eastAsia="Arial" w:hAnsi="Arial"/>
          <w:color w:val="000000"/>
          <w:sz w:val="22"/>
          <w:szCs w:val="22"/>
          <w:rtl w:val="0"/>
        </w:rPr>
        <w:t xml:space="preserve"> in all five assays (Appendix </w:t>
      </w:r>
      <w:r w:rsidDel="00000000" w:rsidR="00000000" w:rsidRPr="00000000">
        <w:rPr>
          <w:rFonts w:ascii="Arial" w:cs="Arial" w:eastAsia="Arial" w:hAnsi="Arial"/>
          <w:sz w:val="22"/>
          <w:szCs w:val="22"/>
          <w:rtl w:val="0"/>
        </w:rPr>
        <w:t xml:space="preserve">3</w:t>
      </w:r>
      <w:r w:rsidDel="00000000" w:rsidR="00000000" w:rsidRPr="00000000">
        <w:rPr>
          <w:rFonts w:ascii="Arial" w:cs="Arial" w:eastAsia="Arial" w:hAnsi="Arial"/>
          <w:color w:val="000000"/>
          <w:sz w:val="22"/>
          <w:szCs w:val="22"/>
          <w:rtl w:val="0"/>
        </w:rPr>
        <w:t xml:space="preserve"> and Table 1) and that assaying plants individually for both POD and PPO, we are able to reduce experimental error (Table 2). </w:t>
      </w:r>
      <w:r w:rsidDel="00000000" w:rsidR="00000000" w:rsidRPr="00000000">
        <w:rPr>
          <w:rFonts w:ascii="Arial" w:cs="Arial" w:eastAsia="Arial" w:hAnsi="Arial"/>
          <w:sz w:val="22"/>
          <w:szCs w:val="22"/>
          <w:rtl w:val="0"/>
        </w:rPr>
        <w:t xml:space="preserve">P</w:t>
      </w:r>
      <w:r w:rsidDel="00000000" w:rsidR="00000000" w:rsidRPr="00000000">
        <w:rPr>
          <w:rFonts w:ascii="Arial" w:cs="Arial" w:eastAsia="Arial" w:hAnsi="Arial"/>
          <w:sz w:val="22"/>
          <w:szCs w:val="22"/>
          <w:rtl w:val="0"/>
        </w:rPr>
        <w:t xml:space="preserve">ooling tissue samples increase</w:t>
      </w:r>
      <w:r w:rsidDel="00000000" w:rsidR="00000000" w:rsidRPr="00000000">
        <w:rPr>
          <w:rFonts w:ascii="Arial" w:cs="Arial" w:eastAsia="Arial" w:hAnsi="Arial"/>
          <w:sz w:val="22"/>
          <w:szCs w:val="22"/>
          <w:rtl w:val="0"/>
        </w:rPr>
        <w:t xml:space="preserve">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variability</w:t>
      </w:r>
      <w:r w:rsidDel="00000000" w:rsidR="00000000" w:rsidRPr="00000000">
        <w:rPr>
          <w:rFonts w:ascii="Arial" w:cs="Arial" w:eastAsia="Arial" w:hAnsi="Arial"/>
          <w:sz w:val="22"/>
          <w:szCs w:val="22"/>
          <w:rtl w:val="0"/>
        </w:rPr>
        <w:t xml:space="preserve"> due to the sample pool containing multiple individual plant responses and makes a strong argument for assaying individual plants [18]. </w:t>
      </w:r>
      <w:r w:rsidDel="00000000" w:rsidR="00000000" w:rsidRPr="00000000">
        <w:rPr>
          <w:rFonts w:ascii="Arial" w:cs="Arial" w:eastAsia="Arial" w:hAnsi="Arial"/>
          <w:sz w:val="22"/>
          <w:szCs w:val="22"/>
          <w:rtl w:val="0"/>
        </w:rPr>
        <w:t xml:space="preserve">The dramatic difference in absorbance </w:t>
      </w:r>
      <w:r w:rsidDel="00000000" w:rsidR="00000000" w:rsidRPr="00000000">
        <w:rPr>
          <w:rFonts w:ascii="Arial" w:cs="Arial" w:eastAsia="Arial" w:hAnsi="Arial"/>
          <w:sz w:val="22"/>
          <w:szCs w:val="22"/>
          <w:rtl w:val="0"/>
        </w:rPr>
        <w:t xml:space="preserve">means</w:t>
      </w:r>
      <w:r w:rsidDel="00000000" w:rsidR="00000000" w:rsidRPr="00000000">
        <w:rPr>
          <w:rFonts w:ascii="Arial" w:cs="Arial" w:eastAsia="Arial" w:hAnsi="Arial"/>
          <w:sz w:val="22"/>
          <w:szCs w:val="22"/>
          <w:rtl w:val="0"/>
        </w:rPr>
        <w:t xml:space="preserve"> between the microplate method and the spectrophotometric method are not of concern since differences can be explained as a consequence of using different machines. However, researchers are limited in what they can measure using spectrophotometers if their study system does not develop large or many leaves. We serially diluted tomato tissue to measure the lower limits of detection for our POD and PPO microplate assays and found that we were able to detect expression in as little as </w:t>
      </w:r>
      <w:r w:rsidDel="00000000" w:rsidR="00000000" w:rsidRPr="00000000">
        <w:rPr>
          <w:rFonts w:ascii="Arial" w:cs="Arial" w:eastAsia="Arial" w:hAnsi="Arial"/>
          <w:sz w:val="22"/>
          <w:szCs w:val="22"/>
          <w:rtl w:val="0"/>
        </w:rPr>
        <w:t xml:space="preserve">3.8mg of tissue </w:t>
      </w:r>
      <w:r w:rsidDel="00000000" w:rsidR="00000000" w:rsidRPr="00000000">
        <w:rPr>
          <w:rFonts w:ascii="Arial" w:cs="Arial" w:eastAsia="Arial" w:hAnsi="Arial"/>
          <w:sz w:val="22"/>
          <w:szCs w:val="22"/>
          <w:rtl w:val="0"/>
        </w:rPr>
        <w:t xml:space="preserve">(Figure 2) </w:t>
      </w:r>
      <w:r w:rsidDel="00000000" w:rsidR="00000000" w:rsidRPr="00000000">
        <w:rPr>
          <w:rFonts w:ascii="Arial" w:cs="Arial" w:eastAsia="Arial" w:hAnsi="Arial"/>
          <w:sz w:val="22"/>
          <w:szCs w:val="22"/>
          <w:rtl w:val="0"/>
        </w:rPr>
        <w:t xml:space="preserve">(Appendix 3). Then, we ran all of our assays on trifoliate </w:t>
      </w:r>
      <w:r w:rsidDel="00000000" w:rsidR="00000000" w:rsidRPr="00000000">
        <w:rPr>
          <w:rFonts w:ascii="Arial" w:cs="Arial" w:eastAsia="Arial" w:hAnsi="Arial"/>
          <w:sz w:val="22"/>
          <w:szCs w:val="22"/>
          <w:rtl w:val="0"/>
        </w:rPr>
        <w:t xml:space="preserve">leaves</w:t>
      </w:r>
      <w:r w:rsidDel="00000000" w:rsidR="00000000" w:rsidRPr="00000000">
        <w:rPr>
          <w:rFonts w:ascii="Arial" w:cs="Arial" w:eastAsia="Arial" w:hAnsi="Arial"/>
          <w:sz w:val="22"/>
          <w:szCs w:val="22"/>
          <w:rtl w:val="0"/>
        </w:rPr>
        <w:t xml:space="preserve"> (ranging in mass from 12 mg to 56 mg) collected from </w:t>
      </w:r>
      <w:r w:rsidDel="00000000" w:rsidR="00000000" w:rsidRPr="00000000">
        <w:rPr>
          <w:rFonts w:ascii="Arial" w:cs="Arial" w:eastAsia="Arial" w:hAnsi="Arial"/>
          <w:i w:val="1"/>
          <w:sz w:val="22"/>
          <w:szCs w:val="22"/>
          <w:rtl w:val="0"/>
        </w:rPr>
        <w:t xml:space="preserve">M. polymorpha</w:t>
      </w:r>
      <w:r w:rsidDel="00000000" w:rsidR="00000000" w:rsidRPr="00000000">
        <w:rPr>
          <w:rFonts w:ascii="Arial" w:cs="Arial" w:eastAsia="Arial" w:hAnsi="Arial"/>
          <w:sz w:val="22"/>
          <w:szCs w:val="22"/>
          <w:rtl w:val="0"/>
        </w:rPr>
        <w:t xml:space="preserve"> as proof of concept that we could detect expression in actual small leaf tissue samples (Appendix 4).  </w:t>
      </w:r>
    </w:p>
    <w:p w:rsidR="00000000" w:rsidDel="00000000" w:rsidP="00000000" w:rsidRDefault="00000000" w:rsidRPr="00000000" w14:paraId="00000034">
      <w:pPr>
        <w:pageBreakBefore w:val="0"/>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pageBreakBefore w:val="0"/>
        <w:spacing w:line="48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CONCLUSIONS</w:t>
      </w:r>
    </w:p>
    <w:p w:rsidR="00000000" w:rsidDel="00000000" w:rsidP="00000000" w:rsidRDefault="00000000" w:rsidRPr="00000000" w14:paraId="00000036">
      <w:pPr>
        <w:pageBreakBefore w:val="0"/>
        <w:spacing w:line="480" w:lineRule="auto"/>
        <w:jc w:val="cente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37">
      <w:pPr>
        <w:pageBreakBefore w:val="0"/>
        <w:spacing w:line="480"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8">
      <w:pPr>
        <w:pageBreakBefore w:val="0"/>
        <w:spacing w:line="480" w:lineRule="auto"/>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The measurement of plant biochemical variation in response to insect herbivory previously faced substantial limitations that have hindered the progress of the field. In particular, current practice in many labs is to use a single ecotype to measure differences between experimental treatments and to pool tissue from multiple leaves and individuals to obtain sufficient sample mass [</w:t>
      </w:r>
      <w:r w:rsidDel="00000000" w:rsidR="00000000" w:rsidRPr="00000000">
        <w:rPr>
          <w:rFonts w:ascii="Arial" w:cs="Arial" w:eastAsia="Arial" w:hAnsi="Arial"/>
          <w:sz w:val="22"/>
          <w:szCs w:val="22"/>
          <w:rtl w:val="0"/>
        </w:rPr>
        <w:t xml:space="preserve">1</w:t>
      </w:r>
      <w:r w:rsidDel="00000000" w:rsidR="00000000" w:rsidRPr="00000000">
        <w:rPr>
          <w:rFonts w:ascii="Arial" w:cs="Arial" w:eastAsia="Arial" w:hAnsi="Arial"/>
          <w:color w:val="000000"/>
          <w:sz w:val="22"/>
          <w:szCs w:val="22"/>
          <w:rtl w:val="0"/>
        </w:rPr>
        <w:t xml:space="preserve">2-</w:t>
      </w:r>
      <w:r w:rsidDel="00000000" w:rsidR="00000000" w:rsidRPr="00000000">
        <w:rPr>
          <w:rFonts w:ascii="Arial" w:cs="Arial" w:eastAsia="Arial" w:hAnsi="Arial"/>
          <w:sz w:val="22"/>
          <w:szCs w:val="22"/>
          <w:rtl w:val="0"/>
        </w:rPr>
        <w:t xml:space="preserve">1</w:t>
      </w:r>
      <w:r w:rsidDel="00000000" w:rsidR="00000000" w:rsidRPr="00000000">
        <w:rPr>
          <w:rFonts w:ascii="Arial" w:cs="Arial" w:eastAsia="Arial" w:hAnsi="Arial"/>
          <w:color w:val="000000"/>
          <w:sz w:val="22"/>
          <w:szCs w:val="22"/>
          <w:rtl w:val="0"/>
        </w:rPr>
        <w:t xml:space="preserve">4]. However, this approach has precluded the study of variation within and between individuals, which is what is relevant for real-world interactions [</w:t>
      </w:r>
      <w:r w:rsidDel="00000000" w:rsidR="00000000" w:rsidRPr="00000000">
        <w:rPr>
          <w:rFonts w:ascii="Arial" w:cs="Arial" w:eastAsia="Arial" w:hAnsi="Arial"/>
          <w:sz w:val="22"/>
          <w:szCs w:val="22"/>
          <w:rtl w:val="0"/>
        </w:rPr>
        <w:t xml:space="preserve">1</w:t>
      </w:r>
      <w:r w:rsidDel="00000000" w:rsidR="00000000" w:rsidRPr="00000000">
        <w:rPr>
          <w:rFonts w:ascii="Arial" w:cs="Arial" w:eastAsia="Arial" w:hAnsi="Arial"/>
          <w:color w:val="000000"/>
          <w:sz w:val="22"/>
          <w:szCs w:val="22"/>
          <w:rtl w:val="0"/>
        </w:rPr>
        <w:t xml:space="preserve">5-</w:t>
      </w:r>
      <w:r w:rsidDel="00000000" w:rsidR="00000000" w:rsidRPr="00000000">
        <w:rPr>
          <w:rFonts w:ascii="Arial" w:cs="Arial" w:eastAsia="Arial" w:hAnsi="Arial"/>
          <w:sz w:val="22"/>
          <w:szCs w:val="22"/>
          <w:rtl w:val="0"/>
        </w:rPr>
        <w:t xml:space="preserve">1</w:t>
      </w:r>
      <w:r w:rsidDel="00000000" w:rsidR="00000000" w:rsidRPr="00000000">
        <w:rPr>
          <w:rFonts w:ascii="Arial" w:cs="Arial" w:eastAsia="Arial" w:hAnsi="Arial"/>
          <w:color w:val="000000"/>
          <w:sz w:val="22"/>
          <w:szCs w:val="22"/>
          <w:rtl w:val="0"/>
        </w:rPr>
        <w:t xml:space="preserve">7]. In contrast to previous techniques [</w:t>
      </w:r>
      <w:r w:rsidDel="00000000" w:rsidR="00000000" w:rsidRPr="00000000">
        <w:rPr>
          <w:rFonts w:ascii="Arial" w:cs="Arial" w:eastAsia="Arial" w:hAnsi="Arial"/>
          <w:sz w:val="22"/>
          <w:szCs w:val="22"/>
          <w:rtl w:val="0"/>
        </w:rPr>
        <w:t xml:space="preserve">6</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10</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1</w:t>
      </w:r>
      <w:r w:rsidDel="00000000" w:rsidR="00000000" w:rsidRPr="00000000">
        <w:rPr>
          <w:rFonts w:ascii="Arial" w:cs="Arial" w:eastAsia="Arial" w:hAnsi="Arial"/>
          <w:color w:val="000000"/>
          <w:sz w:val="22"/>
          <w:szCs w:val="22"/>
          <w:rtl w:val="0"/>
        </w:rPr>
        <w:t xml:space="preserve">2], our protocol offers the ability to implement multiple assays on a large sample set by consolidating sample preparation buffers and running all assays on a microplate reader. This not only dramatically reduces the amount of tissue needed for a given assay, but also reduces the total time required to perform a given assay set. </w:t>
      </w:r>
      <w:r w:rsidDel="00000000" w:rsidR="00000000" w:rsidRPr="00000000">
        <w:rPr>
          <w:rtl w:val="0"/>
        </w:rPr>
      </w:r>
    </w:p>
    <w:p w:rsidR="00000000" w:rsidDel="00000000" w:rsidP="00000000" w:rsidRDefault="00000000" w:rsidRPr="00000000" w14:paraId="00000039">
      <w:pPr>
        <w:pageBreakBefore w:val="0"/>
        <w:spacing w:line="480" w:lineRule="auto"/>
        <w:ind w:firstLine="72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Using our high-throughput protocols, researchers can now compare variation both within and between individuals, genotypes, and populations. </w:t>
      </w:r>
      <w:r w:rsidDel="00000000" w:rsidR="00000000" w:rsidRPr="00000000">
        <w:rPr>
          <w:rFonts w:ascii="Arial" w:cs="Arial" w:eastAsia="Arial" w:hAnsi="Arial"/>
          <w:color w:val="000000"/>
          <w:sz w:val="22"/>
          <w:szCs w:val="22"/>
          <w:rtl w:val="0"/>
        </w:rPr>
        <w:t xml:space="preserve">Genetic</w:t>
      </w:r>
      <w:r w:rsidDel="00000000" w:rsidR="00000000" w:rsidRPr="00000000">
        <w:rPr>
          <w:rFonts w:ascii="Arial" w:cs="Arial" w:eastAsia="Arial" w:hAnsi="Arial"/>
          <w:color w:val="000000"/>
          <w:sz w:val="22"/>
          <w:szCs w:val="22"/>
          <w:rtl w:val="0"/>
        </w:rPr>
        <w:t xml:space="preserve"> and evolutionary biology studies often focus on variation between genotypes (e.g. 1</w:t>
      </w:r>
      <w:r w:rsidDel="00000000" w:rsidR="00000000" w:rsidRPr="00000000">
        <w:rPr>
          <w:rFonts w:ascii="Arial" w:cs="Arial" w:eastAsia="Arial" w:hAnsi="Arial"/>
          <w:sz w:val="22"/>
          <w:szCs w:val="22"/>
          <w:rtl w:val="0"/>
        </w:rPr>
        <w:t xml:space="preserve">9,20)</w:t>
      </w:r>
      <w:r w:rsidDel="00000000" w:rsidR="00000000" w:rsidRPr="00000000">
        <w:rPr>
          <w:rFonts w:ascii="Arial" w:cs="Arial" w:eastAsia="Arial" w:hAnsi="Arial"/>
          <w:color w:val="000000"/>
          <w:sz w:val="22"/>
          <w:szCs w:val="22"/>
          <w:rtl w:val="0"/>
        </w:rPr>
        <w:t xml:space="preserve">, which requires  higher levels of experimental replication afforded by our method. Understanding the genetic variation associated with plant biochemical responses is critical both for understanding how coevolution has shaped these interactions as well as for the success of molecular plant breeding for enhancing these interactions in agronomic settings. Importantly, our protocol also enables paired measurements of multiple defense responses on the same tissue. This has </w:t>
      </w:r>
      <w:r w:rsidDel="00000000" w:rsidR="00000000" w:rsidRPr="00000000">
        <w:rPr>
          <w:rFonts w:ascii="Arial" w:cs="Arial" w:eastAsia="Arial" w:hAnsi="Arial"/>
          <w:sz w:val="22"/>
          <w:szCs w:val="22"/>
          <w:rtl w:val="0"/>
        </w:rPr>
        <w:t xml:space="preserve">several</w:t>
      </w:r>
      <w:r w:rsidDel="00000000" w:rsidR="00000000" w:rsidRPr="00000000">
        <w:rPr>
          <w:rFonts w:ascii="Arial" w:cs="Arial" w:eastAsia="Arial" w:hAnsi="Arial"/>
          <w:color w:val="000000"/>
          <w:sz w:val="22"/>
          <w:szCs w:val="22"/>
          <w:rtl w:val="0"/>
        </w:rPr>
        <w:t xml:space="preserve"> advantages over testing pools of tissue or defense responses on separate tissues–notably, we find high inter-individual variation in biochemical responses within a single genotype of </w:t>
      </w:r>
      <w:r w:rsidDel="00000000" w:rsidR="00000000" w:rsidRPr="00000000">
        <w:rPr>
          <w:rFonts w:ascii="Arial" w:cs="Arial" w:eastAsia="Arial" w:hAnsi="Arial"/>
          <w:i w:val="1"/>
          <w:color w:val="000000"/>
          <w:sz w:val="22"/>
          <w:szCs w:val="22"/>
          <w:rtl w:val="0"/>
        </w:rPr>
        <w:t xml:space="preserve">Solanum lycopersicum</w:t>
      </w:r>
      <w:r w:rsidDel="00000000" w:rsidR="00000000" w:rsidRPr="00000000">
        <w:rPr>
          <w:rFonts w:ascii="Arial" w:cs="Arial" w:eastAsia="Arial" w:hAnsi="Arial"/>
          <w:color w:val="000000"/>
          <w:sz w:val="22"/>
          <w:szCs w:val="22"/>
          <w:rtl w:val="0"/>
        </w:rPr>
        <w:t xml:space="preserve">, underscoring how critical it is to perform </w:t>
      </w:r>
      <w:r w:rsidDel="00000000" w:rsidR="00000000" w:rsidRPr="00000000">
        <w:rPr>
          <w:rFonts w:ascii="Arial" w:cs="Arial" w:eastAsia="Arial" w:hAnsi="Arial"/>
          <w:color w:val="000000"/>
          <w:sz w:val="22"/>
          <w:szCs w:val="22"/>
          <w:rtl w:val="0"/>
        </w:rPr>
        <w:t xml:space="preserve">paired</w:t>
      </w:r>
      <w:r w:rsidDel="00000000" w:rsidR="00000000" w:rsidRPr="00000000">
        <w:rPr>
          <w:rFonts w:ascii="Arial" w:cs="Arial" w:eastAsia="Arial" w:hAnsi="Arial"/>
          <w:color w:val="000000"/>
          <w:sz w:val="22"/>
          <w:szCs w:val="22"/>
          <w:rtl w:val="0"/>
        </w:rPr>
        <w:t xml:space="preserve"> assays. F</w:t>
      </w:r>
      <w:r w:rsidDel="00000000" w:rsidR="00000000" w:rsidRPr="00000000">
        <w:rPr>
          <w:rFonts w:ascii="Arial" w:cs="Arial" w:eastAsia="Arial" w:hAnsi="Arial"/>
          <w:sz w:val="22"/>
          <w:szCs w:val="22"/>
          <w:rtl w:val="0"/>
        </w:rPr>
        <w:t xml:space="preserve">urthermore</w:t>
      </w:r>
      <w:r w:rsidDel="00000000" w:rsidR="00000000" w:rsidRPr="00000000">
        <w:rPr>
          <w:rFonts w:ascii="Arial" w:cs="Arial" w:eastAsia="Arial" w:hAnsi="Arial"/>
          <w:color w:val="000000"/>
          <w:sz w:val="22"/>
          <w:szCs w:val="22"/>
          <w:rtl w:val="0"/>
        </w:rPr>
        <w:t xml:space="preserve">, measuring the production of multiple metabolites/enzymes within a </w:t>
      </w:r>
      <w:r w:rsidDel="00000000" w:rsidR="00000000" w:rsidRPr="00000000">
        <w:rPr>
          <w:rFonts w:ascii="Arial" w:cs="Arial" w:eastAsia="Arial" w:hAnsi="Arial"/>
          <w:sz w:val="22"/>
          <w:szCs w:val="22"/>
          <w:rtl w:val="0"/>
        </w:rPr>
        <w:t xml:space="preserve">single</w:t>
      </w:r>
      <w:r w:rsidDel="00000000" w:rsidR="00000000" w:rsidRPr="00000000">
        <w:rPr>
          <w:rFonts w:ascii="Arial" w:cs="Arial" w:eastAsia="Arial" w:hAnsi="Arial"/>
          <w:color w:val="000000"/>
          <w:sz w:val="22"/>
          <w:szCs w:val="22"/>
          <w:rtl w:val="0"/>
        </w:rPr>
        <w:t xml:space="preserve"> sample will enable researchers to quantify tradeoffs in phytochemical production at the level of individual leaves, the scale at which insects interact with their plant hosts. Our protocol also enables researchers to compare systemic versus localized defense responses within the same plant, since </w:t>
      </w:r>
      <w:r w:rsidDel="00000000" w:rsidR="00000000" w:rsidRPr="00000000">
        <w:rPr>
          <w:rFonts w:ascii="Arial" w:cs="Arial" w:eastAsia="Arial" w:hAnsi="Arial"/>
          <w:sz w:val="22"/>
          <w:szCs w:val="22"/>
          <w:rtl w:val="0"/>
        </w:rPr>
        <w:t xml:space="preserve">multiple</w:t>
      </w:r>
      <w:r w:rsidDel="00000000" w:rsidR="00000000" w:rsidRPr="00000000">
        <w:rPr>
          <w:rFonts w:ascii="Arial" w:cs="Arial" w:eastAsia="Arial" w:hAnsi="Arial"/>
          <w:color w:val="000000"/>
          <w:sz w:val="22"/>
          <w:szCs w:val="22"/>
          <w:rtl w:val="0"/>
        </w:rPr>
        <w:t xml:space="preserve"> leaves can be assayed in parallel. Moreover, increased biological replication provides researchers the opportunity to test hypotheses with enhanced statistical power.</w:t>
      </w:r>
    </w:p>
    <w:p w:rsidR="00000000" w:rsidDel="00000000" w:rsidP="00000000" w:rsidRDefault="00000000" w:rsidRPr="00000000" w14:paraId="0000003A">
      <w:pPr>
        <w:pageBreakBefore w:val="0"/>
        <w:spacing w:line="480" w:lineRule="auto"/>
        <w:ind w:firstLine="72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B">
      <w:pPr>
        <w:pageBreakBefore w:val="0"/>
        <w:spacing w:line="48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Acknowledgements [</w:t>
      </w:r>
      <w:r w:rsidDel="00000000" w:rsidR="00000000" w:rsidRPr="00000000">
        <w:rPr>
          <w:rFonts w:ascii="Arial" w:cs="Arial" w:eastAsia="Arial" w:hAnsi="Arial"/>
          <w:b w:val="1"/>
          <w:color w:val="ff0000"/>
          <w:sz w:val="22"/>
          <w:szCs w:val="22"/>
          <w:rtl w:val="0"/>
        </w:rPr>
        <w:t xml:space="preserve">no more than 75 words</w:t>
      </w:r>
      <w:r w:rsidDel="00000000" w:rsidR="00000000" w:rsidRPr="00000000">
        <w:rPr>
          <w:rFonts w:ascii="Arial" w:cs="Arial" w:eastAsia="Arial" w:hAnsi="Arial"/>
          <w:b w:val="1"/>
          <w:sz w:val="22"/>
          <w:szCs w:val="22"/>
          <w:rtl w:val="0"/>
        </w:rPr>
        <w:t xml:space="preserve">]</w:t>
      </w:r>
    </w:p>
    <w:p w:rsidR="00000000" w:rsidDel="00000000" w:rsidP="00000000" w:rsidRDefault="00000000" w:rsidRPr="00000000" w14:paraId="0000003C">
      <w:pPr>
        <w:pageBreakBefore w:val="0"/>
        <w:spacing w:line="480" w:lineRule="auto"/>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This research was supported the National Science Foundation awards DEB-1354878 (MLF) and DEB-1355216 (SSP); a fellowship</w:t>
      </w:r>
      <w:r w:rsidDel="00000000" w:rsidR="00000000" w:rsidRPr="00000000">
        <w:rPr>
          <w:rFonts w:ascii="Arial" w:cs="Arial" w:eastAsia="Arial" w:hAnsi="Arial"/>
          <w:color w:val="000000"/>
          <w:sz w:val="22"/>
          <w:szCs w:val="22"/>
          <w:rtl w:val="0"/>
        </w:rPr>
        <w:t xml:space="preserve"> from Michigan State University under the Training Program in Plant Biotechnology for Health and Sustainability (T32-GM110523; SLR). This material is based in part upon work supported by the National Science Foundation under Cooperative Agreement No. DBI-0939454 (CNJ). Any opinions, findings, and conclusions or recommendations expressed in this material are those of the author(s) and do not necessarily reflect the views of the National Science Foundation.</w:t>
      </w:r>
    </w:p>
    <w:p w:rsidR="00000000" w:rsidDel="00000000" w:rsidP="00000000" w:rsidRDefault="00000000" w:rsidRPr="00000000" w14:paraId="0000003D">
      <w:pPr>
        <w:pageBreakBefore w:val="0"/>
        <w:spacing w:line="48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E">
      <w:pPr>
        <w:pageBreakBefore w:val="0"/>
        <w:spacing w:line="480" w:lineRule="auto"/>
        <w:rPr>
          <w:rFonts w:ascii="Times" w:cs="Times" w:eastAsia="Times" w:hAnsi="Times"/>
          <w:b w:val="1"/>
          <w:sz w:val="20"/>
          <w:szCs w:val="20"/>
        </w:rPr>
      </w:pPr>
      <w:r w:rsidDel="00000000" w:rsidR="00000000" w:rsidRPr="00000000">
        <w:rPr>
          <w:rFonts w:ascii="Arial" w:cs="Arial" w:eastAsia="Arial" w:hAnsi="Arial"/>
          <w:b w:val="1"/>
          <w:color w:val="000000"/>
          <w:sz w:val="22"/>
          <w:szCs w:val="22"/>
          <w:rtl w:val="0"/>
        </w:rPr>
        <w:t xml:space="preserve">Author Contributions </w:t>
      </w:r>
      <w:r w:rsidDel="00000000" w:rsidR="00000000" w:rsidRPr="00000000">
        <w:rPr>
          <w:rtl w:val="0"/>
        </w:rPr>
      </w:r>
    </w:p>
    <w:p w:rsidR="00000000" w:rsidDel="00000000" w:rsidP="00000000" w:rsidRDefault="00000000" w:rsidRPr="00000000" w14:paraId="0000003F">
      <w:pPr>
        <w:pageBreakBefore w:val="0"/>
        <w:spacing w:line="480" w:lineRule="auto"/>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CNJ and SLR conceived of and designed the study in discussion with MLF. CNJ and SLR performed the experiments. CNJ analyzed the data. SSP contributed with sample preparation. CNJ and SLR drafted the manuscript. CNJ, SLR, SSP, and MLF provided critical feedback and revisions to the manuscript. CNJ, SLR, SSP, and MLF gave final approval of the version to be published</w:t>
      </w:r>
      <w:r w:rsidDel="00000000" w:rsidR="00000000" w:rsidRPr="00000000">
        <w:rPr>
          <w:rtl w:val="0"/>
        </w:rPr>
      </w:r>
    </w:p>
    <w:p w:rsidR="00000000" w:rsidDel="00000000" w:rsidP="00000000" w:rsidRDefault="00000000" w:rsidRPr="00000000" w14:paraId="00000040">
      <w:pPr>
        <w:pageBreakBefore w:val="0"/>
        <w:spacing w:line="480" w:lineRule="auto"/>
        <w:ind w:hanging="9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1">
      <w:pPr>
        <w:pageBreakBefore w:val="0"/>
        <w:spacing w:line="48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Literature Cited (</w:t>
      </w:r>
      <w:r w:rsidDel="00000000" w:rsidR="00000000" w:rsidRPr="00000000">
        <w:rPr>
          <w:rFonts w:ascii="Arial" w:cs="Arial" w:eastAsia="Arial" w:hAnsi="Arial"/>
          <w:b w:val="1"/>
          <w:color w:val="ff0000"/>
          <w:sz w:val="22"/>
          <w:szCs w:val="22"/>
          <w:rtl w:val="0"/>
        </w:rPr>
        <w:t xml:space="preserve">No more than 25</w:t>
      </w:r>
      <w:r w:rsidDel="00000000" w:rsidR="00000000" w:rsidRPr="00000000">
        <w:rPr>
          <w:rFonts w:ascii="Arial" w:cs="Arial" w:eastAsia="Arial" w:hAnsi="Arial"/>
          <w:b w:val="1"/>
          <w:sz w:val="22"/>
          <w:szCs w:val="22"/>
          <w:rtl w:val="0"/>
        </w:rPr>
        <w:t xml:space="preserve">)</w:t>
      </w:r>
    </w:p>
    <w:p w:rsidR="00000000" w:rsidDel="00000000" w:rsidP="00000000" w:rsidRDefault="00000000" w:rsidRPr="00000000" w14:paraId="00000042">
      <w:pPr>
        <w:pageBreakBefore w:val="0"/>
        <w:numPr>
          <w:ilvl w:val="0"/>
          <w:numId w:val="1"/>
        </w:numPr>
        <w:spacing w:line="480" w:lineRule="auto"/>
        <w:ind w:left="720" w:hanging="360"/>
        <w:rPr>
          <w:rFonts w:ascii="Arial" w:cs="Arial" w:eastAsia="Arial" w:hAnsi="Arial"/>
          <w:sz w:val="22"/>
          <w:szCs w:val="22"/>
        </w:rPr>
      </w:pPr>
      <w:r w:rsidDel="00000000" w:rsidR="00000000" w:rsidRPr="00000000">
        <w:rPr>
          <w:rtl w:val="0"/>
        </w:rPr>
        <w:t xml:space="preserve">Olson BJ, Markwell J: Assays for determination of protein concentration. </w:t>
      </w:r>
      <w:r w:rsidDel="00000000" w:rsidR="00000000" w:rsidRPr="00000000">
        <w:rPr>
          <w:i w:val="1"/>
          <w:rtl w:val="0"/>
        </w:rPr>
        <w:t xml:space="preserve">Current protocols in protein science </w:t>
      </w:r>
      <w:r w:rsidDel="00000000" w:rsidR="00000000" w:rsidRPr="00000000">
        <w:rPr>
          <w:rtl w:val="0"/>
        </w:rPr>
        <w:t xml:space="preserve">2007:3.4. 1-3.4. 29.</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3">
      <w:pPr>
        <w:pageBreakBefore w:val="0"/>
        <w:numPr>
          <w:ilvl w:val="0"/>
          <w:numId w:val="1"/>
        </w:numPr>
        <w:spacing w:line="480" w:lineRule="auto"/>
        <w:ind w:left="720" w:hanging="360"/>
        <w:rPr>
          <w:rFonts w:ascii="Arial" w:cs="Arial" w:eastAsia="Arial" w:hAnsi="Arial"/>
          <w:sz w:val="22"/>
          <w:szCs w:val="22"/>
        </w:rPr>
      </w:pPr>
      <w:r w:rsidDel="00000000" w:rsidR="00000000" w:rsidRPr="00000000">
        <w:rPr>
          <w:rtl w:val="0"/>
        </w:rPr>
        <w:t xml:space="preserve">Pande SV, Murthy MS: </w:t>
      </w:r>
      <w:r w:rsidDel="00000000" w:rsidR="00000000" w:rsidRPr="00000000">
        <w:rPr>
          <w:b w:val="1"/>
          <w:rtl w:val="0"/>
        </w:rPr>
        <w:t xml:space="preserve">A modified micro-Bradford procedure for elimination of interference from sodium dodecyl sulfate, other detergents, and lipids</w:t>
      </w:r>
      <w:r w:rsidDel="00000000" w:rsidR="00000000" w:rsidRPr="00000000">
        <w:rPr>
          <w:rtl w:val="0"/>
        </w:rPr>
        <w:t xml:space="preserve">. </w:t>
      </w:r>
      <w:r w:rsidDel="00000000" w:rsidR="00000000" w:rsidRPr="00000000">
        <w:rPr>
          <w:i w:val="1"/>
          <w:rtl w:val="0"/>
        </w:rPr>
        <w:t xml:space="preserve">Analytical biochemistry </w:t>
      </w:r>
      <w:r w:rsidDel="00000000" w:rsidR="00000000" w:rsidRPr="00000000">
        <w:rPr>
          <w:rtl w:val="0"/>
        </w:rPr>
        <w:t xml:space="preserve">1994, </w:t>
      </w:r>
      <w:r w:rsidDel="00000000" w:rsidR="00000000" w:rsidRPr="00000000">
        <w:rPr>
          <w:b w:val="1"/>
          <w:rtl w:val="0"/>
        </w:rPr>
        <w:t xml:space="preserve">220</w:t>
      </w:r>
      <w:r w:rsidDel="00000000" w:rsidR="00000000" w:rsidRPr="00000000">
        <w:rPr>
          <w:rtl w:val="0"/>
        </w:rPr>
        <w:t xml:space="preserve">(2):424-426.</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4">
      <w:pPr>
        <w:pageBreakBefore w:val="0"/>
        <w:numPr>
          <w:ilvl w:val="0"/>
          <w:numId w:val="1"/>
        </w:numPr>
        <w:spacing w:line="480" w:lineRule="auto"/>
        <w:ind w:left="720" w:hanging="360"/>
        <w:rPr>
          <w:rFonts w:ascii="Arial" w:cs="Arial" w:eastAsia="Arial" w:hAnsi="Arial"/>
          <w:sz w:val="22"/>
          <w:szCs w:val="22"/>
          <w:u w:val="none"/>
        </w:rPr>
      </w:pPr>
      <w:r w:rsidDel="00000000" w:rsidR="00000000" w:rsidRPr="00000000">
        <w:rPr>
          <w:rtl w:val="0"/>
        </w:rPr>
        <w:t xml:space="preserve">Quan LJ, Zhang B, Shi WW, Li HY: </w:t>
      </w:r>
      <w:r w:rsidDel="00000000" w:rsidR="00000000" w:rsidRPr="00000000">
        <w:rPr>
          <w:b w:val="1"/>
          <w:rtl w:val="0"/>
        </w:rPr>
        <w:t xml:space="preserve">Hydrogen peroxide in plants: a versatile molecule of the reactive oxygen species network</w:t>
      </w:r>
      <w:r w:rsidDel="00000000" w:rsidR="00000000" w:rsidRPr="00000000">
        <w:rPr>
          <w:rtl w:val="0"/>
        </w:rPr>
        <w:t xml:space="preserve">. </w:t>
      </w:r>
      <w:r w:rsidDel="00000000" w:rsidR="00000000" w:rsidRPr="00000000">
        <w:rPr>
          <w:i w:val="1"/>
          <w:rtl w:val="0"/>
        </w:rPr>
        <w:t xml:space="preserve">Journal of Integrative Plant Biology </w:t>
      </w:r>
      <w:r w:rsidDel="00000000" w:rsidR="00000000" w:rsidRPr="00000000">
        <w:rPr>
          <w:rtl w:val="0"/>
        </w:rPr>
        <w:t xml:space="preserve">2008, </w:t>
      </w:r>
      <w:r w:rsidDel="00000000" w:rsidR="00000000" w:rsidRPr="00000000">
        <w:rPr>
          <w:b w:val="1"/>
          <w:rtl w:val="0"/>
        </w:rPr>
        <w:t xml:space="preserve">50</w:t>
      </w:r>
      <w:r w:rsidDel="00000000" w:rsidR="00000000" w:rsidRPr="00000000">
        <w:rPr>
          <w:rtl w:val="0"/>
        </w:rPr>
        <w:t xml:space="preserve">(1):2-18.</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5">
      <w:pPr>
        <w:pageBreakBefore w:val="0"/>
        <w:numPr>
          <w:ilvl w:val="0"/>
          <w:numId w:val="1"/>
        </w:numPr>
        <w:spacing w:line="480" w:lineRule="auto"/>
        <w:ind w:left="720" w:hanging="360"/>
        <w:rPr>
          <w:rFonts w:ascii="Arial" w:cs="Arial" w:eastAsia="Arial" w:hAnsi="Arial"/>
          <w:sz w:val="22"/>
          <w:szCs w:val="22"/>
          <w:u w:val="none"/>
        </w:rPr>
      </w:pPr>
      <w:r w:rsidDel="00000000" w:rsidR="00000000" w:rsidRPr="00000000">
        <w:rPr>
          <w:rtl w:val="0"/>
        </w:rPr>
        <w:t xml:space="preserve">Bradford MM: </w:t>
      </w:r>
      <w:r w:rsidDel="00000000" w:rsidR="00000000" w:rsidRPr="00000000">
        <w:rPr>
          <w:b w:val="1"/>
          <w:rtl w:val="0"/>
        </w:rPr>
        <w:t xml:space="preserve">A rapid and sensitive method for the quantitation of microgram quantities of protein utilizing the principle of protein-dye binding</w:t>
      </w:r>
      <w:r w:rsidDel="00000000" w:rsidR="00000000" w:rsidRPr="00000000">
        <w:rPr>
          <w:rtl w:val="0"/>
        </w:rPr>
        <w:t xml:space="preserve">. </w:t>
      </w:r>
      <w:r w:rsidDel="00000000" w:rsidR="00000000" w:rsidRPr="00000000">
        <w:rPr>
          <w:i w:val="1"/>
          <w:rtl w:val="0"/>
        </w:rPr>
        <w:t xml:space="preserve">Analytical biochemistry </w:t>
      </w:r>
      <w:r w:rsidDel="00000000" w:rsidR="00000000" w:rsidRPr="00000000">
        <w:rPr>
          <w:rtl w:val="0"/>
        </w:rPr>
        <w:t xml:space="preserve">1976, </w:t>
      </w:r>
      <w:r w:rsidDel="00000000" w:rsidR="00000000" w:rsidRPr="00000000">
        <w:rPr>
          <w:b w:val="1"/>
          <w:rtl w:val="0"/>
        </w:rPr>
        <w:t xml:space="preserve">72</w:t>
      </w:r>
      <w:r w:rsidDel="00000000" w:rsidR="00000000" w:rsidRPr="00000000">
        <w:rPr>
          <w:rtl w:val="0"/>
        </w:rPr>
        <w:t xml:space="preserve">(1-2):248-254.</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6">
      <w:pPr>
        <w:pageBreakBefore w:val="0"/>
        <w:numPr>
          <w:ilvl w:val="0"/>
          <w:numId w:val="1"/>
        </w:numPr>
        <w:spacing w:line="480" w:lineRule="auto"/>
        <w:ind w:left="720" w:hanging="360"/>
        <w:rPr>
          <w:rFonts w:ascii="Arial" w:cs="Arial" w:eastAsia="Arial" w:hAnsi="Arial"/>
          <w:sz w:val="22"/>
          <w:szCs w:val="22"/>
          <w:u w:val="none"/>
        </w:rPr>
      </w:pPr>
      <w:r w:rsidDel="00000000" w:rsidR="00000000" w:rsidRPr="00000000">
        <w:rPr>
          <w:rtl w:val="0"/>
        </w:rPr>
        <w:t xml:space="preserve">Rajalingam D, Loftis C, Xu JJ, Kumar TKS: </w:t>
      </w:r>
      <w:r w:rsidDel="00000000" w:rsidR="00000000" w:rsidRPr="00000000">
        <w:rPr>
          <w:b w:val="1"/>
          <w:rtl w:val="0"/>
        </w:rPr>
        <w:t xml:space="preserve">Trichloroacetic acid</w:t>
      </w:r>
      <w:r w:rsidDel="00000000" w:rsidR="00000000" w:rsidRPr="00000000">
        <w:rPr>
          <w:rFonts w:ascii="MS Mincho" w:cs="MS Mincho" w:eastAsia="MS Mincho" w:hAnsi="MS Mincho"/>
          <w:b w:val="1"/>
          <w:rtl w:val="0"/>
        </w:rPr>
        <w:t xml:space="preserve">‐</w:t>
      </w:r>
      <w:r w:rsidDel="00000000" w:rsidR="00000000" w:rsidRPr="00000000">
        <w:rPr>
          <w:b w:val="1"/>
          <w:rtl w:val="0"/>
        </w:rPr>
        <w:t xml:space="preserve">induced protein precipitation involves the reversible association of a stable partially structured intermediate</w:t>
      </w:r>
      <w:r w:rsidDel="00000000" w:rsidR="00000000" w:rsidRPr="00000000">
        <w:rPr>
          <w:rtl w:val="0"/>
        </w:rPr>
        <w:t xml:space="preserve">. </w:t>
      </w:r>
      <w:r w:rsidDel="00000000" w:rsidR="00000000" w:rsidRPr="00000000">
        <w:rPr>
          <w:i w:val="1"/>
          <w:rtl w:val="0"/>
        </w:rPr>
        <w:t xml:space="preserve">Protein science </w:t>
      </w:r>
      <w:r w:rsidDel="00000000" w:rsidR="00000000" w:rsidRPr="00000000">
        <w:rPr>
          <w:rtl w:val="0"/>
        </w:rPr>
        <w:t xml:space="preserve">2009, </w:t>
      </w:r>
      <w:r w:rsidDel="00000000" w:rsidR="00000000" w:rsidRPr="00000000">
        <w:rPr>
          <w:b w:val="1"/>
          <w:rtl w:val="0"/>
        </w:rPr>
        <w:t xml:space="preserve">18</w:t>
      </w:r>
      <w:r w:rsidDel="00000000" w:rsidR="00000000" w:rsidRPr="00000000">
        <w:rPr>
          <w:rtl w:val="0"/>
        </w:rPr>
        <w:t xml:space="preserve">(5):980-993.</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7">
      <w:pPr>
        <w:pageBreakBefore w:val="0"/>
        <w:numPr>
          <w:ilvl w:val="0"/>
          <w:numId w:val="1"/>
        </w:numPr>
        <w:spacing w:line="480" w:lineRule="auto"/>
        <w:ind w:left="720" w:hanging="360"/>
        <w:rPr>
          <w:rFonts w:ascii="Arial" w:cs="Arial" w:eastAsia="Arial" w:hAnsi="Arial"/>
          <w:sz w:val="22"/>
          <w:szCs w:val="22"/>
          <w:u w:val="none"/>
        </w:rPr>
      </w:pPr>
      <w:r w:rsidDel="00000000" w:rsidR="00000000" w:rsidRPr="00000000">
        <w:rPr>
          <w:rtl w:val="0"/>
        </w:rPr>
        <w:t xml:space="preserve">Junglee S, Urban L, Sallanon H, Lopez-Lauri F: </w:t>
      </w:r>
      <w:r w:rsidDel="00000000" w:rsidR="00000000" w:rsidRPr="00000000">
        <w:rPr>
          <w:b w:val="1"/>
          <w:rtl w:val="0"/>
        </w:rPr>
        <w:t xml:space="preserve">Optimized assay for hydrogen peroxide determination in plant tissue using potassium iodide</w:t>
      </w:r>
      <w:r w:rsidDel="00000000" w:rsidR="00000000" w:rsidRPr="00000000">
        <w:rPr>
          <w:rtl w:val="0"/>
        </w:rPr>
        <w:t xml:space="preserve">. </w:t>
      </w:r>
      <w:r w:rsidDel="00000000" w:rsidR="00000000" w:rsidRPr="00000000">
        <w:rPr>
          <w:i w:val="1"/>
          <w:rtl w:val="0"/>
        </w:rPr>
        <w:t xml:space="preserve">American Journal of Analytical Chemistry </w:t>
      </w:r>
      <w:r w:rsidDel="00000000" w:rsidR="00000000" w:rsidRPr="00000000">
        <w:rPr>
          <w:rtl w:val="0"/>
        </w:rPr>
        <w:t xml:space="preserve">2014, </w:t>
      </w:r>
      <w:r w:rsidDel="00000000" w:rsidR="00000000" w:rsidRPr="00000000">
        <w:rPr>
          <w:b w:val="1"/>
          <w:rtl w:val="0"/>
        </w:rPr>
        <w:t xml:space="preserve">5</w:t>
      </w:r>
      <w:r w:rsidDel="00000000" w:rsidR="00000000" w:rsidRPr="00000000">
        <w:rPr>
          <w:rtl w:val="0"/>
        </w:rPr>
        <w:t xml:space="preserve">(11):730.</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8">
      <w:pPr>
        <w:pageBreakBefore w:val="0"/>
        <w:numPr>
          <w:ilvl w:val="0"/>
          <w:numId w:val="1"/>
        </w:numPr>
        <w:spacing w:line="480" w:lineRule="auto"/>
        <w:ind w:left="720" w:hanging="360"/>
        <w:rPr>
          <w:rFonts w:ascii="Arial" w:cs="Arial" w:eastAsia="Arial" w:hAnsi="Arial"/>
          <w:sz w:val="22"/>
          <w:szCs w:val="22"/>
          <w:u w:val="none"/>
        </w:rPr>
      </w:pPr>
      <w:r w:rsidDel="00000000" w:rsidR="00000000" w:rsidRPr="00000000">
        <w:rPr>
          <w:rtl w:val="0"/>
        </w:rPr>
        <w:t xml:space="preserve">Grimplet J, Wheatley MD, Jouira HB, Deluc LG, Cramer GR, Cushman JC: </w:t>
      </w:r>
      <w:r w:rsidDel="00000000" w:rsidR="00000000" w:rsidRPr="00000000">
        <w:rPr>
          <w:b w:val="1"/>
          <w:rtl w:val="0"/>
        </w:rPr>
        <w:t xml:space="preserve">Proteomic and selected metabolite analysis of grape berry tissues under well</w:t>
      </w:r>
      <w:r w:rsidDel="00000000" w:rsidR="00000000" w:rsidRPr="00000000">
        <w:rPr>
          <w:rFonts w:ascii="MS Mincho" w:cs="MS Mincho" w:eastAsia="MS Mincho" w:hAnsi="MS Mincho"/>
          <w:b w:val="1"/>
          <w:rtl w:val="0"/>
        </w:rPr>
        <w:t xml:space="preserve">‐</w:t>
      </w:r>
      <w:r w:rsidDel="00000000" w:rsidR="00000000" w:rsidRPr="00000000">
        <w:rPr>
          <w:b w:val="1"/>
          <w:rtl w:val="0"/>
        </w:rPr>
        <w:t xml:space="preserve">watered and water</w:t>
      </w:r>
      <w:r w:rsidDel="00000000" w:rsidR="00000000" w:rsidRPr="00000000">
        <w:rPr>
          <w:rFonts w:ascii="MS Mincho" w:cs="MS Mincho" w:eastAsia="MS Mincho" w:hAnsi="MS Mincho"/>
          <w:b w:val="1"/>
          <w:rtl w:val="0"/>
        </w:rPr>
        <w:t xml:space="preserve">‐</w:t>
      </w:r>
      <w:r w:rsidDel="00000000" w:rsidR="00000000" w:rsidRPr="00000000">
        <w:rPr>
          <w:b w:val="1"/>
          <w:rtl w:val="0"/>
        </w:rPr>
        <w:t xml:space="preserve">deficit stress conditions</w:t>
      </w:r>
      <w:r w:rsidDel="00000000" w:rsidR="00000000" w:rsidRPr="00000000">
        <w:rPr>
          <w:rtl w:val="0"/>
        </w:rPr>
        <w:t xml:space="preserve">. </w:t>
      </w:r>
      <w:r w:rsidDel="00000000" w:rsidR="00000000" w:rsidRPr="00000000">
        <w:rPr>
          <w:i w:val="1"/>
          <w:rtl w:val="0"/>
        </w:rPr>
        <w:t xml:space="preserve">Proteomics </w:t>
      </w:r>
      <w:r w:rsidDel="00000000" w:rsidR="00000000" w:rsidRPr="00000000">
        <w:rPr>
          <w:rtl w:val="0"/>
        </w:rPr>
        <w:t xml:space="preserve">2009, </w:t>
      </w:r>
      <w:r w:rsidDel="00000000" w:rsidR="00000000" w:rsidRPr="00000000">
        <w:rPr>
          <w:b w:val="1"/>
          <w:rtl w:val="0"/>
        </w:rPr>
        <w:t xml:space="preserve">9</w:t>
      </w:r>
      <w:r w:rsidDel="00000000" w:rsidR="00000000" w:rsidRPr="00000000">
        <w:rPr>
          <w:rtl w:val="0"/>
        </w:rPr>
        <w:t xml:space="preserve">(9):2503-2528.</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9">
      <w:pPr>
        <w:pageBreakBefore w:val="0"/>
        <w:numPr>
          <w:ilvl w:val="0"/>
          <w:numId w:val="1"/>
        </w:numPr>
        <w:spacing w:line="480" w:lineRule="auto"/>
        <w:ind w:left="720" w:hanging="360"/>
        <w:rPr>
          <w:rFonts w:ascii="Arial" w:cs="Arial" w:eastAsia="Arial" w:hAnsi="Arial"/>
          <w:sz w:val="22"/>
          <w:szCs w:val="22"/>
          <w:u w:val="none"/>
        </w:rPr>
      </w:pPr>
      <w:r w:rsidDel="00000000" w:rsidR="00000000" w:rsidRPr="00000000">
        <w:rPr>
          <w:rtl w:val="0"/>
        </w:rPr>
        <w:t xml:space="preserve">Cavalcanti FR, Oliveira JTA, Martins</w:t>
      </w:r>
      <w:r w:rsidDel="00000000" w:rsidR="00000000" w:rsidRPr="00000000">
        <w:rPr>
          <w:rFonts w:ascii="MS Mincho" w:cs="MS Mincho" w:eastAsia="MS Mincho" w:hAnsi="MS Mincho"/>
          <w:rtl w:val="0"/>
        </w:rPr>
        <w:t xml:space="preserve">‐</w:t>
      </w:r>
      <w:r w:rsidDel="00000000" w:rsidR="00000000" w:rsidRPr="00000000">
        <w:rPr>
          <w:rtl w:val="0"/>
        </w:rPr>
        <w:t xml:space="preserve">Miranda AS, Viégas RA, Silveira JAG: </w:t>
      </w:r>
      <w:r w:rsidDel="00000000" w:rsidR="00000000" w:rsidRPr="00000000">
        <w:rPr>
          <w:b w:val="1"/>
          <w:rtl w:val="0"/>
        </w:rPr>
        <w:t xml:space="preserve">Superoxide dismutase, catalase and peroxidase activities do not confer protection against oxidative damage in salt</w:t>
      </w:r>
      <w:r w:rsidDel="00000000" w:rsidR="00000000" w:rsidRPr="00000000">
        <w:rPr>
          <w:rFonts w:ascii="MS Mincho" w:cs="MS Mincho" w:eastAsia="MS Mincho" w:hAnsi="MS Mincho"/>
          <w:b w:val="1"/>
          <w:rtl w:val="0"/>
        </w:rPr>
        <w:t xml:space="preserve">‐</w:t>
      </w:r>
      <w:r w:rsidDel="00000000" w:rsidR="00000000" w:rsidRPr="00000000">
        <w:rPr>
          <w:b w:val="1"/>
          <w:rtl w:val="0"/>
        </w:rPr>
        <w:t xml:space="preserve">stressed cowpea leaves</w:t>
      </w:r>
      <w:r w:rsidDel="00000000" w:rsidR="00000000" w:rsidRPr="00000000">
        <w:rPr>
          <w:rtl w:val="0"/>
        </w:rPr>
        <w:t xml:space="preserve">. </w:t>
      </w:r>
      <w:r w:rsidDel="00000000" w:rsidR="00000000" w:rsidRPr="00000000">
        <w:rPr>
          <w:i w:val="1"/>
          <w:rtl w:val="0"/>
        </w:rPr>
        <w:t xml:space="preserve">New Phytol </w:t>
      </w:r>
      <w:r w:rsidDel="00000000" w:rsidR="00000000" w:rsidRPr="00000000">
        <w:rPr>
          <w:rtl w:val="0"/>
        </w:rPr>
        <w:t xml:space="preserve">2004, </w:t>
      </w:r>
      <w:r w:rsidDel="00000000" w:rsidR="00000000" w:rsidRPr="00000000">
        <w:rPr>
          <w:b w:val="1"/>
          <w:rtl w:val="0"/>
        </w:rPr>
        <w:t xml:space="preserve">163</w:t>
      </w:r>
      <w:r w:rsidDel="00000000" w:rsidR="00000000" w:rsidRPr="00000000">
        <w:rPr>
          <w:rtl w:val="0"/>
        </w:rPr>
        <w:t xml:space="preserve">(3):563-571.</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A">
      <w:pPr>
        <w:pageBreakBefore w:val="0"/>
        <w:numPr>
          <w:ilvl w:val="0"/>
          <w:numId w:val="1"/>
        </w:numPr>
        <w:spacing w:line="480" w:lineRule="auto"/>
        <w:ind w:left="720" w:hanging="360"/>
        <w:rPr>
          <w:rFonts w:ascii="Arial" w:cs="Arial" w:eastAsia="Arial" w:hAnsi="Arial"/>
          <w:sz w:val="22"/>
          <w:szCs w:val="22"/>
          <w:u w:val="none"/>
        </w:rPr>
      </w:pPr>
      <w:r w:rsidDel="00000000" w:rsidR="00000000" w:rsidRPr="00000000">
        <w:rPr>
          <w:rtl w:val="0"/>
        </w:rPr>
        <w:t xml:space="preserve">Goud PB, Kachole MS: </w:t>
      </w:r>
      <w:r w:rsidDel="00000000" w:rsidR="00000000" w:rsidRPr="00000000">
        <w:rPr>
          <w:b w:val="1"/>
          <w:rtl w:val="0"/>
        </w:rPr>
        <w:t xml:space="preserve">Antioxidant enzyme changes in neem, pigeonpea and mulberry leaves in two stages of maturity</w:t>
      </w:r>
      <w:r w:rsidDel="00000000" w:rsidR="00000000" w:rsidRPr="00000000">
        <w:rPr>
          <w:rtl w:val="0"/>
        </w:rPr>
        <w:t xml:space="preserve">. </w:t>
      </w:r>
      <w:r w:rsidDel="00000000" w:rsidR="00000000" w:rsidRPr="00000000">
        <w:rPr>
          <w:i w:val="1"/>
          <w:rtl w:val="0"/>
        </w:rPr>
        <w:t xml:space="preserve">Plant signaling &amp; behavior </w:t>
      </w:r>
      <w:r w:rsidDel="00000000" w:rsidR="00000000" w:rsidRPr="00000000">
        <w:rPr>
          <w:rtl w:val="0"/>
        </w:rPr>
        <w:t xml:space="preserve">2012, </w:t>
      </w:r>
      <w:r w:rsidDel="00000000" w:rsidR="00000000" w:rsidRPr="00000000">
        <w:rPr>
          <w:b w:val="1"/>
          <w:rtl w:val="0"/>
        </w:rPr>
        <w:t xml:space="preserve">7</w:t>
      </w:r>
      <w:r w:rsidDel="00000000" w:rsidR="00000000" w:rsidRPr="00000000">
        <w:rPr>
          <w:rtl w:val="0"/>
        </w:rPr>
        <w:t xml:space="preserve">(10):1258-1262.</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B">
      <w:pPr>
        <w:pageBreakBefore w:val="0"/>
        <w:numPr>
          <w:ilvl w:val="0"/>
          <w:numId w:val="1"/>
        </w:numPr>
        <w:spacing w:line="480" w:lineRule="auto"/>
        <w:ind w:left="720" w:hanging="360"/>
        <w:rPr>
          <w:rFonts w:ascii="Arial" w:cs="Arial" w:eastAsia="Arial" w:hAnsi="Arial"/>
          <w:sz w:val="22"/>
          <w:szCs w:val="22"/>
          <w:u w:val="none"/>
        </w:rPr>
      </w:pPr>
      <w:r w:rsidDel="00000000" w:rsidR="00000000" w:rsidRPr="00000000">
        <w:rPr>
          <w:rtl w:val="0"/>
        </w:rPr>
        <w:t xml:space="preserve">Orians CM, Pomerleau J, Ricco R: </w:t>
      </w:r>
      <w:r w:rsidDel="00000000" w:rsidR="00000000" w:rsidRPr="00000000">
        <w:rPr>
          <w:b w:val="1"/>
          <w:rtl w:val="0"/>
        </w:rPr>
        <w:t xml:space="preserve">Vascular architecture generates fine scale variation in systemic induction of proteinase inhibitors in tomato</w:t>
      </w:r>
      <w:r w:rsidDel="00000000" w:rsidR="00000000" w:rsidRPr="00000000">
        <w:rPr>
          <w:rtl w:val="0"/>
        </w:rPr>
        <w:t xml:space="preserve">. </w:t>
      </w:r>
      <w:r w:rsidDel="00000000" w:rsidR="00000000" w:rsidRPr="00000000">
        <w:rPr>
          <w:i w:val="1"/>
          <w:rtl w:val="0"/>
        </w:rPr>
        <w:t xml:space="preserve">Journal of Chemical Ecology </w:t>
      </w:r>
      <w:r w:rsidDel="00000000" w:rsidR="00000000" w:rsidRPr="00000000">
        <w:rPr>
          <w:rtl w:val="0"/>
        </w:rPr>
        <w:t xml:space="preserve">2000, </w:t>
      </w:r>
      <w:r w:rsidDel="00000000" w:rsidR="00000000" w:rsidRPr="00000000">
        <w:rPr>
          <w:b w:val="1"/>
          <w:rtl w:val="0"/>
        </w:rPr>
        <w:t xml:space="preserve">26</w:t>
      </w:r>
      <w:r w:rsidDel="00000000" w:rsidR="00000000" w:rsidRPr="00000000">
        <w:rPr>
          <w:rtl w:val="0"/>
        </w:rPr>
        <w:t xml:space="preserve">(2):471-485.</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C">
      <w:pPr>
        <w:pageBreakBefore w:val="0"/>
        <w:numPr>
          <w:ilvl w:val="0"/>
          <w:numId w:val="1"/>
        </w:numPr>
        <w:spacing w:line="480" w:lineRule="auto"/>
        <w:ind w:left="720" w:hanging="360"/>
        <w:rPr>
          <w:rFonts w:ascii="Arial" w:cs="Arial" w:eastAsia="Arial" w:hAnsi="Arial"/>
          <w:sz w:val="22"/>
          <w:szCs w:val="22"/>
          <w:u w:val="none"/>
        </w:rPr>
      </w:pPr>
      <w:r w:rsidDel="00000000" w:rsidR="00000000" w:rsidRPr="00000000">
        <w:rPr>
          <w:rtl w:val="0"/>
        </w:rPr>
        <w:t xml:space="preserve">Velikova V, Yordanov I, Edreva A: </w:t>
      </w:r>
      <w:r w:rsidDel="00000000" w:rsidR="00000000" w:rsidRPr="00000000">
        <w:rPr>
          <w:b w:val="1"/>
          <w:rtl w:val="0"/>
        </w:rPr>
        <w:t xml:space="preserve">Oxidative stress and some antioxidant systems in acid rain-treated bean plants: protective role of exogenous polyamines</w:t>
      </w:r>
      <w:r w:rsidDel="00000000" w:rsidR="00000000" w:rsidRPr="00000000">
        <w:rPr>
          <w:rtl w:val="0"/>
        </w:rPr>
        <w:t xml:space="preserve">. </w:t>
      </w:r>
      <w:r w:rsidDel="00000000" w:rsidR="00000000" w:rsidRPr="00000000">
        <w:rPr>
          <w:i w:val="1"/>
          <w:rtl w:val="0"/>
        </w:rPr>
        <w:t xml:space="preserve">Plant science </w:t>
      </w:r>
      <w:r w:rsidDel="00000000" w:rsidR="00000000" w:rsidRPr="00000000">
        <w:rPr>
          <w:rtl w:val="0"/>
        </w:rPr>
        <w:t xml:space="preserve">2000, </w:t>
      </w:r>
      <w:r w:rsidDel="00000000" w:rsidR="00000000" w:rsidRPr="00000000">
        <w:rPr>
          <w:b w:val="1"/>
          <w:rtl w:val="0"/>
        </w:rPr>
        <w:t xml:space="preserve">151</w:t>
      </w:r>
      <w:r w:rsidDel="00000000" w:rsidR="00000000" w:rsidRPr="00000000">
        <w:rPr>
          <w:rtl w:val="0"/>
        </w:rPr>
        <w:t xml:space="preserve">(1):59-66.</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D">
      <w:pPr>
        <w:pageBreakBefore w:val="0"/>
        <w:numPr>
          <w:ilvl w:val="0"/>
          <w:numId w:val="1"/>
        </w:numPr>
        <w:spacing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War AR, Paulraj MG, War MY, Ignacimuthu S: </w:t>
      </w:r>
      <w:r w:rsidDel="00000000" w:rsidR="00000000" w:rsidRPr="00000000">
        <w:rPr>
          <w:rFonts w:ascii="Arial" w:cs="Arial" w:eastAsia="Arial" w:hAnsi="Arial"/>
          <w:b w:val="1"/>
          <w:sz w:val="22"/>
          <w:szCs w:val="22"/>
          <w:rtl w:val="0"/>
        </w:rPr>
        <w:t xml:space="preserve">Herbivore-and elicitor-induced resistance in groundnut to Asian armyworm, Spodoptera litura (Fab.)(Lepidoptera: Noctuidae)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Plant signaling &amp; behavior </w:t>
      </w:r>
      <w:r w:rsidDel="00000000" w:rsidR="00000000" w:rsidRPr="00000000">
        <w:rPr>
          <w:rFonts w:ascii="Arial" w:cs="Arial" w:eastAsia="Arial" w:hAnsi="Arial"/>
          <w:sz w:val="22"/>
          <w:szCs w:val="22"/>
          <w:rtl w:val="0"/>
        </w:rPr>
        <w:t xml:space="preserve">2011, </w:t>
      </w:r>
      <w:r w:rsidDel="00000000" w:rsidR="00000000" w:rsidRPr="00000000">
        <w:rPr>
          <w:rFonts w:ascii="Arial" w:cs="Arial" w:eastAsia="Arial" w:hAnsi="Arial"/>
          <w:b w:val="1"/>
          <w:sz w:val="22"/>
          <w:szCs w:val="22"/>
          <w:rtl w:val="0"/>
        </w:rPr>
        <w:t xml:space="preserve">6</w:t>
      </w:r>
      <w:r w:rsidDel="00000000" w:rsidR="00000000" w:rsidRPr="00000000">
        <w:rPr>
          <w:rFonts w:ascii="Arial" w:cs="Arial" w:eastAsia="Arial" w:hAnsi="Arial"/>
          <w:sz w:val="22"/>
          <w:szCs w:val="22"/>
          <w:rtl w:val="0"/>
        </w:rPr>
        <w:t xml:space="preserve">(11):1769-1777.</w:t>
      </w:r>
    </w:p>
    <w:p w:rsidR="00000000" w:rsidDel="00000000" w:rsidP="00000000" w:rsidRDefault="00000000" w:rsidRPr="00000000" w14:paraId="0000004E">
      <w:pPr>
        <w:pageBreakBefore w:val="0"/>
        <w:numPr>
          <w:ilvl w:val="0"/>
          <w:numId w:val="1"/>
        </w:numPr>
        <w:spacing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Rajendran S, Lin I-W, Chen M-J, Chen C-Y, Yeh K-W: </w:t>
      </w:r>
      <w:r w:rsidDel="00000000" w:rsidR="00000000" w:rsidRPr="00000000">
        <w:rPr>
          <w:rFonts w:ascii="Arial" w:cs="Arial" w:eastAsia="Arial" w:hAnsi="Arial"/>
          <w:b w:val="1"/>
          <w:sz w:val="22"/>
          <w:szCs w:val="22"/>
          <w:rtl w:val="0"/>
        </w:rPr>
        <w:t xml:space="preserve">Differential activation of sporamin expression in response to abiotic mechanical wounding and biotic herbivore attack in the sweet potato</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BMC plant biology </w:t>
      </w:r>
      <w:r w:rsidDel="00000000" w:rsidR="00000000" w:rsidRPr="00000000">
        <w:rPr>
          <w:rFonts w:ascii="Arial" w:cs="Arial" w:eastAsia="Arial" w:hAnsi="Arial"/>
          <w:sz w:val="22"/>
          <w:szCs w:val="22"/>
          <w:rtl w:val="0"/>
        </w:rPr>
        <w:t xml:space="preserve">2014, </w:t>
      </w:r>
      <w:r w:rsidDel="00000000" w:rsidR="00000000" w:rsidRPr="00000000">
        <w:rPr>
          <w:rFonts w:ascii="Arial" w:cs="Arial" w:eastAsia="Arial" w:hAnsi="Arial"/>
          <w:b w:val="1"/>
          <w:sz w:val="22"/>
          <w:szCs w:val="22"/>
          <w:rtl w:val="0"/>
        </w:rPr>
        <w:t xml:space="preserve">14</w:t>
      </w:r>
      <w:r w:rsidDel="00000000" w:rsidR="00000000" w:rsidRPr="00000000">
        <w:rPr>
          <w:rFonts w:ascii="Arial" w:cs="Arial" w:eastAsia="Arial" w:hAnsi="Arial"/>
          <w:sz w:val="22"/>
          <w:szCs w:val="22"/>
          <w:rtl w:val="0"/>
        </w:rPr>
        <w:t xml:space="preserve">(1):112.</w:t>
      </w:r>
    </w:p>
    <w:p w:rsidR="00000000" w:rsidDel="00000000" w:rsidP="00000000" w:rsidRDefault="00000000" w:rsidRPr="00000000" w14:paraId="0000004F">
      <w:pPr>
        <w:pageBreakBefore w:val="0"/>
        <w:numPr>
          <w:ilvl w:val="0"/>
          <w:numId w:val="1"/>
        </w:numPr>
        <w:spacing w:line="480" w:lineRule="auto"/>
        <w:ind w:left="720" w:hanging="360"/>
        <w:rPr>
          <w:rFonts w:ascii="Arial" w:cs="Arial" w:eastAsia="Arial" w:hAnsi="Arial"/>
          <w:sz w:val="22"/>
          <w:szCs w:val="22"/>
          <w:u w:val="none"/>
        </w:rPr>
      </w:pPr>
      <w:r w:rsidDel="00000000" w:rsidR="00000000" w:rsidRPr="00000000">
        <w:rPr>
          <w:rtl w:val="0"/>
        </w:rPr>
        <w:t xml:space="preserve">Ferrieri AP, Appel HM, Schultz JC: </w:t>
      </w:r>
      <w:r w:rsidDel="00000000" w:rsidR="00000000" w:rsidRPr="00000000">
        <w:rPr>
          <w:b w:val="1"/>
          <w:rtl w:val="0"/>
        </w:rPr>
        <w:t xml:space="preserve">Plant vascular architecture determines the pattern of herbivore-induced systemic responses in Arabidopsis thaliana</w:t>
      </w:r>
      <w:r w:rsidDel="00000000" w:rsidR="00000000" w:rsidRPr="00000000">
        <w:rPr>
          <w:rtl w:val="0"/>
        </w:rPr>
        <w:t xml:space="preserve">. </w:t>
      </w:r>
      <w:r w:rsidDel="00000000" w:rsidR="00000000" w:rsidRPr="00000000">
        <w:rPr>
          <w:i w:val="1"/>
          <w:rtl w:val="0"/>
        </w:rPr>
        <w:t xml:space="preserve">Plos One </w:t>
      </w:r>
      <w:r w:rsidDel="00000000" w:rsidR="00000000" w:rsidRPr="00000000">
        <w:rPr>
          <w:rtl w:val="0"/>
        </w:rPr>
        <w:t xml:space="preserve">2015, </w:t>
      </w:r>
      <w:r w:rsidDel="00000000" w:rsidR="00000000" w:rsidRPr="00000000">
        <w:rPr>
          <w:b w:val="1"/>
          <w:rtl w:val="0"/>
        </w:rPr>
        <w:t xml:space="preserve">10</w:t>
      </w:r>
      <w:r w:rsidDel="00000000" w:rsidR="00000000" w:rsidRPr="00000000">
        <w:rPr>
          <w:rtl w:val="0"/>
        </w:rPr>
        <w:t xml:space="preserve">(4):e0123899.</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0">
      <w:pPr>
        <w:pageBreakBefore w:val="0"/>
        <w:numPr>
          <w:ilvl w:val="0"/>
          <w:numId w:val="1"/>
        </w:numPr>
        <w:spacing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Bolnick DI, Amarasekare P, Araújo MS, Bürger R, Levine JM, Novak M, Rudolf VH, Schreiber SJ, Urban MC, Vasseur DA: </w:t>
      </w:r>
      <w:r w:rsidDel="00000000" w:rsidR="00000000" w:rsidRPr="00000000">
        <w:rPr>
          <w:rFonts w:ascii="Arial" w:cs="Arial" w:eastAsia="Arial" w:hAnsi="Arial"/>
          <w:b w:val="1"/>
          <w:sz w:val="22"/>
          <w:szCs w:val="22"/>
          <w:rtl w:val="0"/>
        </w:rPr>
        <w:t xml:space="preserve">Why intraspecific trait variation matters in community ecology</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Trends in ecology &amp; evolution </w:t>
      </w:r>
      <w:r w:rsidDel="00000000" w:rsidR="00000000" w:rsidRPr="00000000">
        <w:rPr>
          <w:rFonts w:ascii="Arial" w:cs="Arial" w:eastAsia="Arial" w:hAnsi="Arial"/>
          <w:sz w:val="22"/>
          <w:szCs w:val="22"/>
          <w:rtl w:val="0"/>
        </w:rPr>
        <w:t xml:space="preserve">2011, </w:t>
      </w:r>
      <w:r w:rsidDel="00000000" w:rsidR="00000000" w:rsidRPr="00000000">
        <w:rPr>
          <w:rFonts w:ascii="Arial" w:cs="Arial" w:eastAsia="Arial" w:hAnsi="Arial"/>
          <w:b w:val="1"/>
          <w:sz w:val="22"/>
          <w:szCs w:val="22"/>
          <w:rtl w:val="0"/>
        </w:rPr>
        <w:t xml:space="preserve">26</w:t>
      </w:r>
      <w:r w:rsidDel="00000000" w:rsidR="00000000" w:rsidRPr="00000000">
        <w:rPr>
          <w:rFonts w:ascii="Arial" w:cs="Arial" w:eastAsia="Arial" w:hAnsi="Arial"/>
          <w:sz w:val="22"/>
          <w:szCs w:val="22"/>
          <w:rtl w:val="0"/>
        </w:rPr>
        <w:t xml:space="preserve">(4):183-192.</w:t>
      </w:r>
    </w:p>
    <w:p w:rsidR="00000000" w:rsidDel="00000000" w:rsidP="00000000" w:rsidRDefault="00000000" w:rsidRPr="00000000" w14:paraId="00000051">
      <w:pPr>
        <w:pageBreakBefore w:val="0"/>
        <w:numPr>
          <w:ilvl w:val="0"/>
          <w:numId w:val="1"/>
        </w:numPr>
        <w:spacing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Winn AA: </w:t>
      </w:r>
      <w:r w:rsidDel="00000000" w:rsidR="00000000" w:rsidRPr="00000000">
        <w:rPr>
          <w:rFonts w:ascii="Arial" w:cs="Arial" w:eastAsia="Arial" w:hAnsi="Arial"/>
          <w:b w:val="1"/>
          <w:sz w:val="22"/>
          <w:szCs w:val="22"/>
          <w:rtl w:val="0"/>
        </w:rPr>
        <w:t xml:space="preserve">Adaptation to fine</w:t>
      </w:r>
      <w:r w:rsidDel="00000000" w:rsidR="00000000" w:rsidRPr="00000000">
        <w:rPr>
          <w:rFonts w:ascii="MS Mincho" w:cs="MS Mincho" w:eastAsia="MS Mincho" w:hAnsi="MS Mincho"/>
          <w:b w:val="1"/>
          <w:sz w:val="22"/>
          <w:szCs w:val="22"/>
          <w:rtl w:val="0"/>
        </w:rPr>
        <w:t xml:space="preserve">‐</w:t>
      </w:r>
      <w:r w:rsidDel="00000000" w:rsidR="00000000" w:rsidRPr="00000000">
        <w:rPr>
          <w:rFonts w:ascii="Arial" w:cs="Arial" w:eastAsia="Arial" w:hAnsi="Arial"/>
          <w:b w:val="1"/>
          <w:sz w:val="22"/>
          <w:szCs w:val="22"/>
          <w:rtl w:val="0"/>
        </w:rPr>
        <w:t xml:space="preserve">grained environmental variation: an analysis of within</w:t>
      </w:r>
      <w:r w:rsidDel="00000000" w:rsidR="00000000" w:rsidRPr="00000000">
        <w:rPr>
          <w:rFonts w:ascii="MS Mincho" w:cs="MS Mincho" w:eastAsia="MS Mincho" w:hAnsi="MS Mincho"/>
          <w:b w:val="1"/>
          <w:sz w:val="22"/>
          <w:szCs w:val="22"/>
          <w:rtl w:val="0"/>
        </w:rPr>
        <w:t xml:space="preserve">‐</w:t>
      </w:r>
      <w:r w:rsidDel="00000000" w:rsidR="00000000" w:rsidRPr="00000000">
        <w:rPr>
          <w:rFonts w:ascii="Arial" w:cs="Arial" w:eastAsia="Arial" w:hAnsi="Arial"/>
          <w:b w:val="1"/>
          <w:sz w:val="22"/>
          <w:szCs w:val="22"/>
          <w:rtl w:val="0"/>
        </w:rPr>
        <w:t xml:space="preserve">individual leaf variation in an annual plant</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Evolution </w:t>
      </w:r>
      <w:r w:rsidDel="00000000" w:rsidR="00000000" w:rsidRPr="00000000">
        <w:rPr>
          <w:rFonts w:ascii="Arial" w:cs="Arial" w:eastAsia="Arial" w:hAnsi="Arial"/>
          <w:sz w:val="22"/>
          <w:szCs w:val="22"/>
          <w:rtl w:val="0"/>
        </w:rPr>
        <w:t xml:space="preserve">1996, </w:t>
      </w:r>
      <w:r w:rsidDel="00000000" w:rsidR="00000000" w:rsidRPr="00000000">
        <w:rPr>
          <w:rFonts w:ascii="Arial" w:cs="Arial" w:eastAsia="Arial" w:hAnsi="Arial"/>
          <w:b w:val="1"/>
          <w:sz w:val="22"/>
          <w:szCs w:val="22"/>
          <w:rtl w:val="0"/>
        </w:rPr>
        <w:t xml:space="preserve">50</w:t>
      </w:r>
      <w:r w:rsidDel="00000000" w:rsidR="00000000" w:rsidRPr="00000000">
        <w:rPr>
          <w:rFonts w:ascii="Arial" w:cs="Arial" w:eastAsia="Arial" w:hAnsi="Arial"/>
          <w:sz w:val="22"/>
          <w:szCs w:val="22"/>
          <w:rtl w:val="0"/>
        </w:rPr>
        <w:t xml:space="preserve">(3):1111-1118.</w:t>
      </w:r>
    </w:p>
    <w:p w:rsidR="00000000" w:rsidDel="00000000" w:rsidP="00000000" w:rsidRDefault="00000000" w:rsidRPr="00000000" w14:paraId="00000052">
      <w:pPr>
        <w:pageBreakBefore w:val="0"/>
        <w:numPr>
          <w:ilvl w:val="0"/>
          <w:numId w:val="1"/>
        </w:numPr>
        <w:spacing w:line="480" w:lineRule="auto"/>
        <w:ind w:left="720" w:hanging="360"/>
        <w:rPr>
          <w:rFonts w:ascii="Arial" w:cs="Arial" w:eastAsia="Arial" w:hAnsi="Arial"/>
          <w:sz w:val="22"/>
          <w:szCs w:val="22"/>
          <w:u w:val="none"/>
        </w:rPr>
      </w:pPr>
      <w:r w:rsidDel="00000000" w:rsidR="00000000" w:rsidRPr="00000000">
        <w:rPr>
          <w:rtl w:val="0"/>
        </w:rPr>
        <w:t xml:space="preserve">Whitham TG: </w:t>
      </w:r>
      <w:r w:rsidDel="00000000" w:rsidR="00000000" w:rsidRPr="00000000">
        <w:rPr>
          <w:b w:val="1"/>
          <w:rtl w:val="0"/>
        </w:rPr>
        <w:t xml:space="preserve">Host manipulation of parasites: within-plant variation as a defense against rapidly evolving pests</w:t>
      </w:r>
      <w:r w:rsidDel="00000000" w:rsidR="00000000" w:rsidRPr="00000000">
        <w:rPr>
          <w:rtl w:val="0"/>
        </w:rPr>
        <w:t xml:space="preserve">. </w:t>
      </w:r>
      <w:r w:rsidDel="00000000" w:rsidR="00000000" w:rsidRPr="00000000">
        <w:rPr>
          <w:i w:val="1"/>
          <w:rtl w:val="0"/>
        </w:rPr>
        <w:t xml:space="preserve">Variable plants and herbivores in natural and managed systems </w:t>
      </w:r>
      <w:r w:rsidDel="00000000" w:rsidR="00000000" w:rsidRPr="00000000">
        <w:rPr>
          <w:rtl w:val="0"/>
        </w:rPr>
        <w:t xml:space="preserve">1983:15-41.</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3">
      <w:pPr>
        <w:pageBreakBefore w:val="0"/>
        <w:numPr>
          <w:ilvl w:val="0"/>
          <w:numId w:val="1"/>
        </w:numPr>
        <w:spacing w:line="48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Zhang, S.-D. and T. W. Gant (2005). "Effect of pooling samples on the efficiency of comparative studies using microarrays." Bioinformatics 21(24): 4378-4383.</w:t>
      </w:r>
    </w:p>
    <w:p w:rsidR="00000000" w:rsidDel="00000000" w:rsidP="00000000" w:rsidRDefault="00000000" w:rsidRPr="00000000" w14:paraId="00000054">
      <w:pPr>
        <w:pageBreakBefore w:val="0"/>
        <w:numPr>
          <w:ilvl w:val="0"/>
          <w:numId w:val="1"/>
        </w:numPr>
        <w:spacing w:line="48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Fitzpatrick, C. R., et al. (2015). "The importance of plant genotype and contemporary evolution for terrestrial ecosystem processes." Ecology 96(10): 2632-2642.</w:t>
      </w:r>
    </w:p>
    <w:p w:rsidR="00000000" w:rsidDel="00000000" w:rsidP="00000000" w:rsidRDefault="00000000" w:rsidRPr="00000000" w14:paraId="00000055">
      <w:pPr>
        <w:pageBreakBefore w:val="0"/>
        <w:numPr>
          <w:ilvl w:val="0"/>
          <w:numId w:val="1"/>
        </w:numPr>
        <w:spacing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Kerwin, R., et al. (2015). "Natural genetic variation in Arabidopsis thaliana defense metabolism genes modulates field fitness." Elife 4.</w:t>
      </w:r>
    </w:p>
    <w:p w:rsidR="00000000" w:rsidDel="00000000" w:rsidP="00000000" w:rsidRDefault="00000000" w:rsidRPr="00000000" w14:paraId="00000056">
      <w:pPr>
        <w:pageBreakBefore w:val="0"/>
        <w:numPr>
          <w:ilvl w:val="0"/>
          <w:numId w:val="1"/>
        </w:numPr>
        <w:spacing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57">
      <w:pPr>
        <w:pageBreakBefore w:val="0"/>
        <w:numPr>
          <w:ilvl w:val="0"/>
          <w:numId w:val="1"/>
        </w:numPr>
        <w:spacing w:line="480" w:lineRule="auto"/>
        <w:ind w:left="720" w:hanging="360"/>
        <w:rPr>
          <w:rFonts w:ascii="Arial" w:cs="Arial" w:eastAsia="Arial" w:hAnsi="Arial"/>
          <w:sz w:val="22"/>
          <w:szCs w:val="22"/>
          <w:u w:val="none"/>
        </w:rPr>
      </w:pPr>
      <w:r w:rsidDel="00000000" w:rsidR="00000000" w:rsidRPr="00000000">
        <w:rPr>
          <w:rtl w:val="0"/>
        </w:rPr>
      </w:r>
    </w:p>
    <w:p w:rsidR="00000000" w:rsidDel="00000000" w:rsidP="00000000" w:rsidRDefault="00000000" w:rsidRPr="00000000" w14:paraId="00000058">
      <w:pPr>
        <w:pageBreakBefore w:val="0"/>
        <w:spacing w:line="48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9">
      <w:pPr>
        <w:pageBreakBefore w:val="0"/>
        <w:spacing w:line="48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Tables (</w:t>
      </w:r>
      <w:r w:rsidDel="00000000" w:rsidR="00000000" w:rsidRPr="00000000">
        <w:rPr>
          <w:rFonts w:ascii="Arial" w:cs="Arial" w:eastAsia="Arial" w:hAnsi="Arial"/>
          <w:b w:val="1"/>
          <w:color w:val="ff0000"/>
          <w:sz w:val="22"/>
          <w:szCs w:val="22"/>
          <w:rtl w:val="0"/>
        </w:rPr>
        <w:t xml:space="preserve">no more than 2</w:t>
      </w:r>
      <w:r w:rsidDel="00000000" w:rsidR="00000000" w:rsidRPr="00000000">
        <w:rPr>
          <w:rFonts w:ascii="Arial" w:cs="Arial" w:eastAsia="Arial" w:hAnsi="Arial"/>
          <w:b w:val="1"/>
          <w:sz w:val="22"/>
          <w:szCs w:val="22"/>
          <w:rtl w:val="0"/>
        </w:rPr>
        <w:t xml:space="preserve">)</w:t>
      </w:r>
    </w:p>
    <w:p w:rsidR="00000000" w:rsidDel="00000000" w:rsidP="00000000" w:rsidRDefault="00000000" w:rsidRPr="00000000" w14:paraId="0000005A">
      <w:pPr>
        <w:pageBreakBefore w:val="0"/>
        <w:spacing w:line="480" w:lineRule="auto"/>
        <w:rPr>
          <w:rFonts w:ascii="Arial" w:cs="Arial" w:eastAsia="Arial" w:hAnsi="Arial"/>
          <w:b w:val="1"/>
          <w:sz w:val="22"/>
          <w:szCs w:val="22"/>
        </w:rPr>
      </w:pPr>
      <w:r w:rsidDel="00000000" w:rsidR="00000000" w:rsidRPr="00000000">
        <w:rPr>
          <w:rFonts w:ascii="Arial" w:cs="Arial" w:eastAsia="Arial" w:hAnsi="Arial"/>
          <w:b w:val="1"/>
          <w:color w:val="000000"/>
          <w:sz w:val="22"/>
          <w:szCs w:val="22"/>
          <w:rtl w:val="0"/>
        </w:rPr>
        <w:t xml:space="preserve">Table 1. </w:t>
      </w:r>
      <w:r w:rsidDel="00000000" w:rsidR="00000000" w:rsidRPr="00000000">
        <w:rPr>
          <w:rFonts w:ascii="Arial" w:cs="Arial" w:eastAsia="Arial" w:hAnsi="Arial"/>
          <w:color w:val="000000"/>
          <w:sz w:val="22"/>
          <w:szCs w:val="22"/>
          <w:rtl w:val="0"/>
        </w:rPr>
        <w:t xml:space="preserve">Amount of variation explained by between plant tissue samples pre- and post-herbivory. Values taken from </w:t>
      </w:r>
      <w:r w:rsidDel="00000000" w:rsidR="00000000" w:rsidRPr="00000000">
        <w:rPr>
          <w:rFonts w:ascii="Arial" w:cs="Arial" w:eastAsia="Arial" w:hAnsi="Arial"/>
          <w:i w:val="1"/>
          <w:color w:val="000000"/>
          <w:sz w:val="22"/>
          <w:szCs w:val="22"/>
          <w:rtl w:val="0"/>
        </w:rPr>
        <w:t xml:space="preserve">Solanum lycopersicum</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samples. </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tbl>
      <w:tblPr>
        <w:tblStyle w:val="Table1"/>
        <w:tblW w:w="8840.0" w:type="dxa"/>
        <w:jc w:val="left"/>
        <w:tblInd w:w="0.0" w:type="dxa"/>
        <w:tblLayout w:type="fixed"/>
        <w:tblLook w:val="0400"/>
      </w:tblPr>
      <w:tblGrid>
        <w:gridCol w:w="1617"/>
        <w:gridCol w:w="1543"/>
        <w:gridCol w:w="1080"/>
        <w:gridCol w:w="1300"/>
        <w:gridCol w:w="1400"/>
        <w:gridCol w:w="1020"/>
        <w:gridCol w:w="880"/>
        <w:tblGridChange w:id="0">
          <w:tblGrid>
            <w:gridCol w:w="1617"/>
            <w:gridCol w:w="1543"/>
            <w:gridCol w:w="1080"/>
            <w:gridCol w:w="1300"/>
            <w:gridCol w:w="1400"/>
            <w:gridCol w:w="1020"/>
            <w:gridCol w:w="880"/>
          </w:tblGrid>
        </w:tblGridChange>
      </w:tblGrid>
      <w:tr>
        <w:trPr>
          <w:cantSplit w:val="0"/>
          <w:trHeight w:val="42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C">
            <w:pPr>
              <w:pageBreakBefore w:val="0"/>
              <w:jc w:val="center"/>
              <w:rPr>
                <w:rFonts w:ascii="Times" w:cs="Times" w:eastAsia="Times" w:hAnsi="Times"/>
                <w:sz w:val="20"/>
                <w:szCs w:val="20"/>
              </w:rPr>
            </w:pPr>
            <w:r w:rsidDel="00000000" w:rsidR="00000000" w:rsidRPr="00000000">
              <w:rPr>
                <w:rFonts w:ascii="Arial" w:cs="Arial" w:eastAsia="Arial" w:hAnsi="Arial"/>
                <w:b w:val="1"/>
                <w:color w:val="000000"/>
                <w:sz w:val="22"/>
                <w:szCs w:val="22"/>
                <w:rtl w:val="0"/>
              </w:rPr>
              <w:t xml:space="preserve">Assay</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D">
            <w:pPr>
              <w:pageBreakBefore w:val="0"/>
              <w:jc w:val="center"/>
              <w:rPr>
                <w:rFonts w:ascii="Times" w:cs="Times" w:eastAsia="Times" w:hAnsi="Times"/>
                <w:sz w:val="20"/>
                <w:szCs w:val="20"/>
              </w:rPr>
            </w:pPr>
            <w:r w:rsidDel="00000000" w:rsidR="00000000" w:rsidRPr="00000000">
              <w:rPr>
                <w:rFonts w:ascii="Arial" w:cs="Arial" w:eastAsia="Arial" w:hAnsi="Arial"/>
                <w:b w:val="1"/>
                <w:color w:val="000000"/>
                <w:sz w:val="22"/>
                <w:szCs w:val="22"/>
                <w:rtl w:val="0"/>
              </w:rPr>
              <w:t xml:space="preserve">Pre-herbivory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0">
            <w:pPr>
              <w:pageBreakBefore w:val="0"/>
              <w:jc w:val="center"/>
              <w:rPr>
                <w:rFonts w:ascii="Arial" w:cs="Arial" w:eastAsia="Arial" w:hAnsi="Arial"/>
                <w:b w:val="1"/>
                <w:color w:val="000000"/>
                <w:sz w:val="22"/>
                <w:szCs w:val="22"/>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pageBreakBefore w:val="0"/>
              <w:jc w:val="center"/>
              <w:rPr>
                <w:rFonts w:ascii="Times" w:cs="Times" w:eastAsia="Times" w:hAnsi="Times"/>
                <w:sz w:val="20"/>
                <w:szCs w:val="20"/>
              </w:rPr>
            </w:pPr>
            <w:r w:rsidDel="00000000" w:rsidR="00000000" w:rsidRPr="00000000">
              <w:rPr>
                <w:rFonts w:ascii="Arial" w:cs="Arial" w:eastAsia="Arial" w:hAnsi="Arial"/>
                <w:b w:val="1"/>
                <w:color w:val="000000"/>
                <w:sz w:val="22"/>
                <w:szCs w:val="22"/>
                <w:rtl w:val="0"/>
              </w:rPr>
              <w:t xml:space="preserve">Post-herbivory</w:t>
            </w: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 Variation explained by plant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5">
            <w:pPr>
              <w:pageBreakBefore w:val="0"/>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 stat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pageBreakBefore w:val="0"/>
              <w:jc w:val="center"/>
              <w:rPr>
                <w:rFonts w:ascii="Times" w:cs="Times" w:eastAsia="Times" w:hAnsi="Times"/>
                <w:i w:val="1"/>
                <w:sz w:val="20"/>
                <w:szCs w:val="20"/>
              </w:rPr>
            </w:pPr>
            <w:r w:rsidDel="00000000" w:rsidR="00000000" w:rsidRPr="00000000">
              <w:rPr>
                <w:rFonts w:ascii="Arial" w:cs="Arial" w:eastAsia="Arial" w:hAnsi="Arial"/>
                <w:i w:val="1"/>
                <w:color w:val="000000"/>
                <w:sz w:val="22"/>
                <w:szCs w:val="22"/>
                <w:rtl w:val="0"/>
              </w:rPr>
              <w:t xml:space="preserv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 Variation explained by plant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8">
            <w:pPr>
              <w:pageBreakBefore w:val="0"/>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 stat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pageBreakBefore w:val="0"/>
              <w:jc w:val="center"/>
              <w:rPr>
                <w:rFonts w:ascii="Times" w:cs="Times" w:eastAsia="Times" w:hAnsi="Times"/>
                <w:i w:val="1"/>
                <w:sz w:val="20"/>
                <w:szCs w:val="20"/>
              </w:rPr>
            </w:pPr>
            <w:r w:rsidDel="00000000" w:rsidR="00000000" w:rsidRPr="00000000">
              <w:rPr>
                <w:rFonts w:ascii="Arial" w:cs="Arial" w:eastAsia="Arial" w:hAnsi="Arial"/>
                <w:i w:val="1"/>
                <w:color w:val="000000"/>
                <w:sz w:val="22"/>
                <w:szCs w:val="22"/>
                <w:rtl w:val="0"/>
              </w:rPr>
              <w:t xml:space="preserve">p</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Protein Quantification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95.8%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C">
            <w:pPr>
              <w:pageBreakBefore w:val="0"/>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80.42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&lt;0.001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99.9%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F">
            <w:pPr>
              <w:pageBreakBefore w:val="0"/>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3753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&lt;0.001</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H</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O</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 0%</w:t>
            </w:r>
            <w:r w:rsidDel="00000000" w:rsidR="00000000" w:rsidRPr="00000000">
              <w:rPr>
                <w:rFonts w:ascii="Arial" w:cs="Arial" w:eastAsia="Arial" w:hAnsi="Arial"/>
                <w:color w:val="000000"/>
                <w:sz w:val="22"/>
                <w:szCs w:val="22"/>
                <w:vertAlign w:val="superscript"/>
                <w:rtl w:val="0"/>
              </w:rPr>
              <w:t xml:space="preserve">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pageBreakBefore w:val="0"/>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0.911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0.404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99.98%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6">
            <w:pPr>
              <w:pageBreakBefore w:val="0"/>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1.476e</w:t>
            </w:r>
            <w:r w:rsidDel="00000000" w:rsidR="00000000" w:rsidRPr="00000000">
              <w:rPr>
                <w:rFonts w:ascii="Arial" w:cs="Arial" w:eastAsia="Arial" w:hAnsi="Arial"/>
                <w:color w:val="000000"/>
                <w:sz w:val="22"/>
                <w:szCs w:val="22"/>
                <w:vertAlign w:val="superscript"/>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&lt;0.001</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POD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51.7%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A">
            <w:pPr>
              <w:pageBreakBefore w:val="0"/>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6.076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&lt;0.01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37.8%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D">
            <w:pPr>
              <w:pageBreakBefore w:val="0"/>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3.887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&lt;0.05</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PPO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70.1%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1">
            <w:pPr>
              <w:pageBreakBefore w:val="0"/>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9.218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&lt;0.01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81.3%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4">
            <w:pPr>
              <w:pageBreakBefore w:val="0"/>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16.25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&lt;0.001</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PI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60.8%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pageBreakBefore w:val="0"/>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3.167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0.0875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77.7%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pageBreakBefore w:val="0"/>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10.59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&lt;0.01</w:t>
            </w:r>
            <w:r w:rsidDel="00000000" w:rsidR="00000000" w:rsidRPr="00000000">
              <w:rPr>
                <w:rtl w:val="0"/>
              </w:rPr>
            </w:r>
          </w:p>
        </w:tc>
      </w:tr>
    </w:tbl>
    <w:p w:rsidR="00000000" w:rsidDel="00000000" w:rsidP="00000000" w:rsidRDefault="00000000" w:rsidRPr="00000000" w14:paraId="0000008D">
      <w:pPr>
        <w:pageBreakBefore w:val="0"/>
        <w:spacing w:line="4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vertAlign w:val="superscript"/>
          <w:rtl w:val="0"/>
        </w:rPr>
        <w:t xml:space="preserve">a</w:t>
      </w:r>
      <w:r w:rsidDel="00000000" w:rsidR="00000000" w:rsidRPr="00000000">
        <w:rPr>
          <w:rFonts w:ascii="Arial" w:cs="Arial" w:eastAsia="Arial" w:hAnsi="Arial"/>
          <w:color w:val="000000"/>
          <w:sz w:val="22"/>
          <w:szCs w:val="22"/>
          <w:rtl w:val="0"/>
        </w:rPr>
        <w:t xml:space="preserve">H</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O</w:t>
      </w:r>
      <w:r w:rsidDel="00000000" w:rsidR="00000000" w:rsidRPr="00000000">
        <w:rPr>
          <w:rFonts w:ascii="Arial" w:cs="Arial" w:eastAsia="Arial" w:hAnsi="Arial"/>
          <w:color w:val="000000"/>
          <w:sz w:val="22"/>
          <w:szCs w:val="22"/>
          <w:vertAlign w:val="subscript"/>
          <w:rtl w:val="0"/>
        </w:rPr>
        <w:t xml:space="preserve">2 </w:t>
      </w:r>
      <w:r w:rsidDel="00000000" w:rsidR="00000000" w:rsidRPr="00000000">
        <w:rPr>
          <w:rFonts w:ascii="Arial" w:cs="Arial" w:eastAsia="Arial" w:hAnsi="Arial"/>
          <w:color w:val="000000"/>
          <w:sz w:val="22"/>
          <w:szCs w:val="22"/>
          <w:rtl w:val="0"/>
        </w:rPr>
        <w:t xml:space="preserve">production prior to herbivory was negligible.</w:t>
      </w:r>
    </w:p>
    <w:p w:rsidR="00000000" w:rsidDel="00000000" w:rsidP="00000000" w:rsidRDefault="00000000" w:rsidRPr="00000000" w14:paraId="0000008E">
      <w:pPr>
        <w:pageBreakBefore w:val="0"/>
        <w:spacing w:line="48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8F">
      <w:pPr>
        <w:pageBreakBefore w:val="0"/>
        <w:spacing w:line="480" w:lineRule="auto"/>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Table 2. </w:t>
      </w:r>
      <w:r w:rsidDel="00000000" w:rsidR="00000000" w:rsidRPr="00000000">
        <w:rPr>
          <w:rFonts w:ascii="Arial" w:cs="Arial" w:eastAsia="Arial" w:hAnsi="Arial"/>
          <w:color w:val="000000"/>
          <w:sz w:val="22"/>
          <w:szCs w:val="22"/>
          <w:rtl w:val="0"/>
        </w:rPr>
        <w:t xml:space="preserve">Comparison of </w:t>
      </w:r>
      <w:r w:rsidDel="00000000" w:rsidR="00000000" w:rsidRPr="00000000">
        <w:rPr>
          <w:rFonts w:ascii="Arial" w:cs="Arial" w:eastAsia="Arial" w:hAnsi="Arial"/>
          <w:sz w:val="22"/>
          <w:szCs w:val="22"/>
          <w:rtl w:val="0"/>
        </w:rPr>
        <w:t xml:space="preserve">means and standard errors</w:t>
      </w:r>
      <w:r w:rsidDel="00000000" w:rsidR="00000000" w:rsidRPr="00000000">
        <w:rPr>
          <w:rFonts w:ascii="Arial" w:cs="Arial" w:eastAsia="Arial" w:hAnsi="Arial"/>
          <w:color w:val="000000"/>
          <w:sz w:val="22"/>
          <w:szCs w:val="22"/>
          <w:rtl w:val="0"/>
        </w:rPr>
        <w:t xml:space="preserve"> between spectrophotometer and microplate assays for POD and PPO. </w:t>
      </w:r>
      <w:r w:rsidDel="00000000" w:rsidR="00000000" w:rsidRPr="00000000">
        <w:rPr>
          <w:rFonts w:ascii="Arial" w:cs="Arial" w:eastAsia="Arial" w:hAnsi="Arial"/>
          <w:sz w:val="22"/>
          <w:szCs w:val="22"/>
          <w:rtl w:val="0"/>
        </w:rPr>
        <w:t xml:space="preserve">Values taken from </w:t>
      </w:r>
      <w:r w:rsidDel="00000000" w:rsidR="00000000" w:rsidRPr="00000000">
        <w:rPr>
          <w:rFonts w:ascii="Arial" w:cs="Arial" w:eastAsia="Arial" w:hAnsi="Arial"/>
          <w:i w:val="1"/>
          <w:sz w:val="22"/>
          <w:szCs w:val="22"/>
          <w:rtl w:val="0"/>
        </w:rPr>
        <w:t xml:space="preserve">Solanum lycopersicum</w:t>
      </w:r>
      <w:r w:rsidDel="00000000" w:rsidR="00000000" w:rsidRPr="00000000">
        <w:rPr>
          <w:rFonts w:ascii="Arial" w:cs="Arial" w:eastAsia="Arial" w:hAnsi="Arial"/>
          <w:sz w:val="22"/>
          <w:szCs w:val="22"/>
          <w:rtl w:val="0"/>
        </w:rPr>
        <w:t xml:space="preserve"> samples.</w:t>
      </w:r>
      <w:r w:rsidDel="00000000" w:rsidR="00000000" w:rsidRPr="00000000">
        <w:rPr>
          <w:rtl w:val="0"/>
        </w:rPr>
      </w:r>
    </w:p>
    <w:tbl>
      <w:tblPr>
        <w:tblStyle w:val="Table2"/>
        <w:tblW w:w="7393.0" w:type="dxa"/>
        <w:jc w:val="left"/>
        <w:tblInd w:w="0.0" w:type="dxa"/>
        <w:tblLayout w:type="fixed"/>
        <w:tblLook w:val="0400"/>
      </w:tblPr>
      <w:tblGrid>
        <w:gridCol w:w="849"/>
        <w:gridCol w:w="1521"/>
        <w:gridCol w:w="1619"/>
        <w:gridCol w:w="1649"/>
        <w:gridCol w:w="1755"/>
        <w:tblGridChange w:id="0">
          <w:tblGrid>
            <w:gridCol w:w="849"/>
            <w:gridCol w:w="1521"/>
            <w:gridCol w:w="1619"/>
            <w:gridCol w:w="1649"/>
            <w:gridCol w:w="1755"/>
          </w:tblGrid>
        </w:tblGridChange>
      </w:tblGrid>
      <w:tr>
        <w:trPr>
          <w:cantSplit w:val="0"/>
          <w:trHeight w:val="48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0">
            <w:pPr>
              <w:pageBreakBefore w:val="0"/>
              <w:jc w:val="center"/>
              <w:rPr>
                <w:rFonts w:ascii="Times" w:cs="Times" w:eastAsia="Times" w:hAnsi="Times"/>
                <w:sz w:val="20"/>
                <w:szCs w:val="20"/>
              </w:rPr>
            </w:pPr>
            <w:r w:rsidDel="00000000" w:rsidR="00000000" w:rsidRPr="00000000">
              <w:rPr>
                <w:rFonts w:ascii="Arial" w:cs="Arial" w:eastAsia="Arial" w:hAnsi="Arial"/>
                <w:b w:val="1"/>
                <w:color w:val="000000"/>
                <w:sz w:val="22"/>
                <w:szCs w:val="22"/>
                <w:rtl w:val="0"/>
              </w:rPr>
              <w:t xml:space="preserve">Assay</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1">
            <w:pPr>
              <w:pageBreakBefore w:val="0"/>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Experimental mean</w:t>
            </w:r>
          </w:p>
          <w:p w:rsidR="00000000" w:rsidDel="00000000" w:rsidP="00000000" w:rsidRDefault="00000000" w:rsidRPr="00000000" w14:paraId="00000092">
            <w:pPr>
              <w:pageBreakBefore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(Abs/ g FW)</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4">
            <w:pPr>
              <w:pageBreakBefore w:val="0"/>
              <w:jc w:val="center"/>
              <w:rPr>
                <w:rFonts w:ascii="Times" w:cs="Times" w:eastAsia="Times" w:hAnsi="Times"/>
                <w:sz w:val="20"/>
                <w:szCs w:val="20"/>
              </w:rPr>
            </w:pPr>
            <w:r w:rsidDel="00000000" w:rsidR="00000000" w:rsidRPr="00000000">
              <w:rPr>
                <w:rFonts w:ascii="Arial" w:cs="Arial" w:eastAsia="Arial" w:hAnsi="Arial"/>
                <w:b w:val="1"/>
                <w:color w:val="000000"/>
                <w:sz w:val="22"/>
                <w:szCs w:val="22"/>
                <w:rtl w:val="0"/>
              </w:rPr>
              <w:t xml:space="preserve">Experimental SE as % of mean</w:t>
            </w: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pageBreakBefore w:val="0"/>
              <w:jc w:val="center"/>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Pre-herbivory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pageBreakBefore w:val="0"/>
              <w:jc w:val="center"/>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Post-herbivory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pageBreakBefore w:val="0"/>
              <w:jc w:val="center"/>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Pre-herbivory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pageBreakBefore w:val="0"/>
              <w:jc w:val="center"/>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Post-herbivory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POD</w:t>
            </w:r>
            <w:r w:rsidDel="00000000" w:rsidR="00000000" w:rsidRPr="00000000">
              <w:rPr>
                <w:rtl w:val="0"/>
              </w:rPr>
            </w:r>
          </w:p>
          <w:p w:rsidR="00000000" w:rsidDel="00000000" w:rsidP="00000000" w:rsidRDefault="00000000" w:rsidRPr="00000000" w14:paraId="0000009C">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Spec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D">
            <w:pPr>
              <w:pageBreakBefore w:val="0"/>
              <w:jc w:val="center"/>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1.17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E">
            <w:pPr>
              <w:pageBreakBefore w:val="0"/>
              <w:jc w:val="center"/>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46.8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F">
            <w:pPr>
              <w:pageBreakBefore w:val="0"/>
              <w:jc w:val="center"/>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68.14%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0">
            <w:pPr>
              <w:pageBreakBefore w:val="0"/>
              <w:jc w:val="center"/>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34.85%</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POD</w:t>
            </w:r>
            <w:r w:rsidDel="00000000" w:rsidR="00000000" w:rsidRPr="00000000">
              <w:rPr>
                <w:rtl w:val="0"/>
              </w:rPr>
            </w:r>
          </w:p>
          <w:p w:rsidR="00000000" w:rsidDel="00000000" w:rsidP="00000000" w:rsidRDefault="00000000" w:rsidRPr="00000000" w14:paraId="000000A2">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Micro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3">
            <w:pPr>
              <w:pageBreakBefore w:val="0"/>
              <w:jc w:val="center"/>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6.31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4">
            <w:pPr>
              <w:pageBreakBefore w:val="0"/>
              <w:jc w:val="center"/>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256.47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5">
            <w:pPr>
              <w:pageBreakBefore w:val="0"/>
              <w:jc w:val="center"/>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3.34%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6">
            <w:pPr>
              <w:pageBreakBefore w:val="0"/>
              <w:jc w:val="center"/>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1.97%</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PPO</w:t>
            </w:r>
            <w:r w:rsidDel="00000000" w:rsidR="00000000" w:rsidRPr="00000000">
              <w:rPr>
                <w:rtl w:val="0"/>
              </w:rPr>
            </w:r>
          </w:p>
          <w:p w:rsidR="00000000" w:rsidDel="00000000" w:rsidP="00000000" w:rsidRDefault="00000000" w:rsidRPr="00000000" w14:paraId="000000A8">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Spec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9">
            <w:pPr>
              <w:pageBreakBefore w:val="0"/>
              <w:jc w:val="center"/>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0.79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A">
            <w:pPr>
              <w:pageBreakBefore w:val="0"/>
              <w:jc w:val="center"/>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34.64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B">
            <w:pPr>
              <w:pageBreakBefore w:val="0"/>
              <w:jc w:val="center"/>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26.88%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C">
            <w:pPr>
              <w:pageBreakBefore w:val="0"/>
              <w:jc w:val="center"/>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26.74%</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PPO</w:t>
            </w:r>
            <w:r w:rsidDel="00000000" w:rsidR="00000000" w:rsidRPr="00000000">
              <w:rPr>
                <w:rtl w:val="0"/>
              </w:rPr>
            </w:r>
          </w:p>
          <w:p w:rsidR="00000000" w:rsidDel="00000000" w:rsidP="00000000" w:rsidRDefault="00000000" w:rsidRPr="00000000" w14:paraId="000000AE">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Micro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F">
            <w:pPr>
              <w:pageBreakBefore w:val="0"/>
              <w:jc w:val="center"/>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1.98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0">
            <w:pPr>
              <w:pageBreakBefore w:val="0"/>
              <w:jc w:val="center"/>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122.26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1">
            <w:pPr>
              <w:pageBreakBefore w:val="0"/>
              <w:jc w:val="center"/>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14.6%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2">
            <w:pPr>
              <w:pageBreakBefore w:val="0"/>
              <w:jc w:val="center"/>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10.15%</w:t>
            </w:r>
            <w:r w:rsidDel="00000000" w:rsidR="00000000" w:rsidRPr="00000000">
              <w:rPr>
                <w:rtl w:val="0"/>
              </w:rPr>
            </w:r>
          </w:p>
        </w:tc>
      </w:tr>
    </w:tbl>
    <w:p w:rsidR="00000000" w:rsidDel="00000000" w:rsidP="00000000" w:rsidRDefault="00000000" w:rsidRPr="00000000" w14:paraId="000000B3">
      <w:pPr>
        <w:pageBreakBefore w:val="0"/>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Figures and legends (no more than 2)</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Fig 1. Comparison of absorbance values for A)POD and B)PPO when measured using either a spectrophotometer (cuvette) or microplate reader (microplate). Each dot represents mean plus standard error. All concentrations were done in triplicate.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strike w:val="1"/>
          <w:color w:val="00796b"/>
          <w:sz w:val="22"/>
          <w:szCs w:val="22"/>
        </w:rPr>
      </w:pPr>
      <w:r w:rsidDel="00000000" w:rsidR="00000000" w:rsidRPr="00000000">
        <w:rPr>
          <w:rFonts w:ascii="Arial" w:cs="Arial" w:eastAsia="Arial" w:hAnsi="Arial"/>
          <w:sz w:val="22"/>
          <w:szCs w:val="22"/>
          <w:rtl w:val="0"/>
        </w:rPr>
        <w:t xml:space="preserve">Fig 2. </w:t>
      </w:r>
      <w:r w:rsidDel="00000000" w:rsidR="00000000" w:rsidRPr="00000000">
        <w:rPr>
          <w:rFonts w:ascii="Arial" w:cs="Arial" w:eastAsia="Arial" w:hAnsi="Arial"/>
          <w:sz w:val="22"/>
          <w:szCs w:val="22"/>
          <w:rtl w:val="0"/>
        </w:rPr>
        <w:t xml:space="preserve">Se</w:t>
      </w:r>
      <w:r w:rsidDel="00000000" w:rsidR="00000000" w:rsidRPr="00000000">
        <w:rPr>
          <w:rFonts w:ascii="Arial" w:cs="Arial" w:eastAsia="Arial" w:hAnsi="Arial"/>
          <w:sz w:val="22"/>
          <w:szCs w:val="22"/>
          <w:rtl w:val="0"/>
        </w:rPr>
        <w:t xml:space="preserve">rial dilutions</w:t>
      </w:r>
      <w:r w:rsidDel="00000000" w:rsidR="00000000" w:rsidRPr="00000000">
        <w:rPr>
          <w:rFonts w:ascii="Arial" w:cs="Arial" w:eastAsia="Arial" w:hAnsi="Arial"/>
          <w:sz w:val="22"/>
          <w:szCs w:val="22"/>
          <w:rtl w:val="0"/>
        </w:rPr>
        <w:t xml:space="preserve"> of uninduced tomato tissue. We serially diluted a homogenized tissue sample initially at a concentration of 0.38 g FW/mL to determine the lower limit of detection. We used uninduced tissue with low expression of defense compounds. Each dilution was measured in triplicate; values shown are means plus standard errors.</w:t>
      </w:r>
      <w:r w:rsidDel="00000000" w:rsidR="00000000" w:rsidRPr="00000000">
        <w:rPr>
          <w:rtl w:val="0"/>
        </w:rPr>
      </w:r>
    </w:p>
    <w:p w:rsidR="00000000" w:rsidDel="00000000" w:rsidP="00000000" w:rsidRDefault="00000000" w:rsidRPr="00000000" w14:paraId="000000B8">
      <w:pPr>
        <w:pageBreakBefore w:val="0"/>
        <w:spacing w:line="4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9">
      <w:pPr>
        <w:pageBreakBefore w:val="0"/>
        <w:spacing w:line="48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A">
      <w:pPr>
        <w:pageBreakBefore w:val="0"/>
        <w:spacing w:line="48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APPENDIX </w:t>
      </w:r>
    </w:p>
    <w:p w:rsidR="00000000" w:rsidDel="00000000" w:rsidP="00000000" w:rsidRDefault="00000000" w:rsidRPr="00000000" w14:paraId="000000BB">
      <w:pPr>
        <w:pageBreakBefore w:val="0"/>
        <w:spacing w:line="480" w:lineRule="auto"/>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Appendix </w:t>
      </w:r>
      <w:r w:rsidDel="00000000" w:rsidR="00000000" w:rsidRPr="00000000">
        <w:rPr>
          <w:rFonts w:ascii="Arial" w:cs="Arial" w:eastAsia="Arial" w:hAnsi="Arial"/>
          <w:b w:val="1"/>
          <w:color w:val="000000"/>
          <w:sz w:val="22"/>
          <w:szCs w:val="22"/>
          <w:rtl w:val="0"/>
        </w:rPr>
        <w:t xml:space="preserve">1</w:t>
      </w:r>
    </w:p>
    <w:p w:rsidR="00000000" w:rsidDel="00000000" w:rsidP="00000000" w:rsidRDefault="00000000" w:rsidRPr="00000000" w14:paraId="000000BC">
      <w:pPr>
        <w:pageBreakBefore w:val="0"/>
        <w:spacing w:line="480" w:lineRule="auto"/>
        <w:rPr>
          <w:rFonts w:ascii="Times" w:cs="Times" w:eastAsia="Times" w:hAnsi="Times"/>
          <w:sz w:val="20"/>
          <w:szCs w:val="20"/>
        </w:rPr>
      </w:pPr>
      <w:r w:rsidDel="00000000" w:rsidR="00000000" w:rsidRPr="00000000">
        <w:rPr>
          <w:rFonts w:ascii="Arial" w:cs="Arial" w:eastAsia="Arial" w:hAnsi="Arial"/>
          <w:b w:val="1"/>
          <w:color w:val="000000"/>
          <w:sz w:val="22"/>
          <w:szCs w:val="22"/>
          <w:rtl w:val="0"/>
        </w:rPr>
        <w:t xml:space="preserve">Methods</w:t>
      </w:r>
      <w:r w:rsidDel="00000000" w:rsidR="00000000" w:rsidRPr="00000000">
        <w:rPr>
          <w:rtl w:val="0"/>
        </w:rPr>
      </w:r>
    </w:p>
    <w:p w:rsidR="00000000" w:rsidDel="00000000" w:rsidP="00000000" w:rsidRDefault="00000000" w:rsidRPr="00000000" w14:paraId="000000BD">
      <w:pPr>
        <w:pageBreakBefore w:val="0"/>
        <w:spacing w:line="480" w:lineRule="auto"/>
        <w:rPr>
          <w:rFonts w:ascii="Times" w:cs="Times" w:eastAsia="Times" w:hAnsi="Times"/>
          <w:sz w:val="20"/>
          <w:szCs w:val="20"/>
        </w:rPr>
      </w:pPr>
      <w:r w:rsidDel="00000000" w:rsidR="00000000" w:rsidRPr="00000000">
        <w:rPr>
          <w:rFonts w:ascii="Arial" w:cs="Arial" w:eastAsia="Arial" w:hAnsi="Arial"/>
          <w:i w:val="1"/>
          <w:color w:val="000000"/>
          <w:sz w:val="22"/>
          <w:szCs w:val="22"/>
          <w:rtl w:val="0"/>
        </w:rPr>
        <w:t xml:space="preserve">Plant Growth</w:t>
      </w:r>
      <w:r w:rsidDel="00000000" w:rsidR="00000000" w:rsidRPr="00000000">
        <w:rPr>
          <w:rtl w:val="0"/>
        </w:rPr>
      </w:r>
    </w:p>
    <w:p w:rsidR="00000000" w:rsidDel="00000000" w:rsidP="00000000" w:rsidRDefault="00000000" w:rsidRPr="00000000" w14:paraId="000000BE">
      <w:pPr>
        <w:pageBreakBefore w:val="0"/>
        <w:spacing w:line="480" w:lineRule="auto"/>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Tomato (</w:t>
      </w:r>
      <w:r w:rsidDel="00000000" w:rsidR="00000000" w:rsidRPr="00000000">
        <w:rPr>
          <w:rFonts w:ascii="Arial" w:cs="Arial" w:eastAsia="Arial" w:hAnsi="Arial"/>
          <w:i w:val="1"/>
          <w:color w:val="000000"/>
          <w:sz w:val="22"/>
          <w:szCs w:val="22"/>
          <w:rtl w:val="0"/>
        </w:rPr>
        <w:t xml:space="preserve">Solanum lycopersicum, </w:t>
      </w:r>
      <w:r w:rsidDel="00000000" w:rsidR="00000000" w:rsidRPr="00000000">
        <w:rPr>
          <w:rFonts w:ascii="Arial" w:cs="Arial" w:eastAsia="Arial" w:hAnsi="Arial"/>
          <w:color w:val="000000"/>
          <w:sz w:val="22"/>
          <w:szCs w:val="22"/>
          <w:rtl w:val="0"/>
        </w:rPr>
        <w:t xml:space="preserve">ecotype M82</w:t>
      </w:r>
      <w:r w:rsidDel="00000000" w:rsidR="00000000" w:rsidRPr="00000000">
        <w:rPr>
          <w:rFonts w:ascii="Arial" w:cs="Arial" w:eastAsia="Arial" w:hAnsi="Arial"/>
          <w:i w:val="1"/>
          <w:color w:val="000000"/>
          <w:sz w:val="22"/>
          <w:szCs w:val="22"/>
          <w:rtl w:val="0"/>
        </w:rPr>
        <w:t xml:space="preserve">) </w:t>
      </w:r>
      <w:r w:rsidDel="00000000" w:rsidR="00000000" w:rsidRPr="00000000">
        <w:rPr>
          <w:rFonts w:ascii="Arial" w:cs="Arial" w:eastAsia="Arial" w:hAnsi="Arial"/>
          <w:color w:val="000000"/>
          <w:sz w:val="22"/>
          <w:szCs w:val="22"/>
          <w:rtl w:val="0"/>
        </w:rPr>
        <w:t xml:space="preserve">seeds were scarified with 600 grit sandpaper. The seeds were imbibed in dH</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O for three days at 4°C in the dark to stratify. We removed the seeds from the cold and placed them in a dark cabinet overnight. The germinated seedlings were grown for three weeks in a grow room (Conditions: 16 hour days at 22°C with light levels at ~ 300µEinsteins in autoclaved soil substrate (2 part Suremix</w:t>
      </w:r>
      <w:r w:rsidDel="00000000" w:rsidR="00000000" w:rsidRPr="00000000">
        <w:rPr>
          <w:rFonts w:ascii="Arial" w:cs="Arial" w:eastAsia="Arial" w:hAnsi="Arial"/>
          <w:color w:val="000000"/>
          <w:sz w:val="22"/>
          <w:szCs w:val="22"/>
          <w:vertAlign w:val="superscript"/>
          <w:rtl w:val="0"/>
        </w:rPr>
        <w:t xml:space="preserve">TM</w:t>
      </w:r>
      <w:r w:rsidDel="00000000" w:rsidR="00000000" w:rsidRPr="00000000">
        <w:rPr>
          <w:rFonts w:ascii="Arial" w:cs="Arial" w:eastAsia="Arial" w:hAnsi="Arial"/>
          <w:color w:val="000000"/>
          <w:sz w:val="22"/>
          <w:szCs w:val="22"/>
          <w:rtl w:val="0"/>
        </w:rPr>
        <w:t xml:space="preserve">: ½ part sand) in 5” pots. The plants were watered weekly with dH</w:t>
      </w:r>
      <w:r w:rsidDel="00000000" w:rsidR="00000000" w:rsidRPr="00000000">
        <w:rPr>
          <w:rFonts w:ascii="Arial" w:cs="Arial" w:eastAsia="Arial" w:hAnsi="Arial"/>
          <w:color w:val="000000"/>
          <w:sz w:val="13"/>
          <w:szCs w:val="13"/>
          <w:vertAlign w:val="subscript"/>
          <w:rtl w:val="0"/>
        </w:rPr>
        <w:t xml:space="preserve">2</w:t>
      </w:r>
      <w:r w:rsidDel="00000000" w:rsidR="00000000" w:rsidRPr="00000000">
        <w:rPr>
          <w:rFonts w:ascii="Arial" w:cs="Arial" w:eastAsia="Arial" w:hAnsi="Arial"/>
          <w:color w:val="000000"/>
          <w:sz w:val="22"/>
          <w:szCs w:val="22"/>
          <w:rtl w:val="0"/>
        </w:rPr>
        <w:t xml:space="preserve">O. </w:t>
      </w:r>
      <w:r w:rsidDel="00000000" w:rsidR="00000000" w:rsidRPr="00000000">
        <w:rPr>
          <w:rtl w:val="0"/>
        </w:rPr>
      </w:r>
    </w:p>
    <w:p w:rsidR="00000000" w:rsidDel="00000000" w:rsidP="00000000" w:rsidRDefault="00000000" w:rsidRPr="00000000" w14:paraId="000000BF">
      <w:pPr>
        <w:pageBreakBefore w:val="0"/>
        <w:spacing w:line="48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Burr medic (Medicago polymorpha) seeds were scarified as above and planted into 158-ml pots filled with Sungro Sunshine Mix #1. Three seeds were planted into each cone 5 mm below the soil surface in the Washington State University, Vancouver greenhouse. Plants were fertilized with slow release fertilizer (Osmocote Plus Outdoor &amp; Indoor fertilizer pellets) and inoculated a week after planting with a rhizobium strain mixture of 10</w:t>
      </w:r>
      <w:r w:rsidDel="00000000" w:rsidR="00000000" w:rsidRPr="00000000">
        <w:rPr>
          <w:rFonts w:ascii="Arial" w:cs="Arial" w:eastAsia="Arial" w:hAnsi="Arial"/>
          <w:sz w:val="22"/>
          <w:szCs w:val="22"/>
          <w:rtl w:val="0"/>
        </w:rPr>
        <w:t xml:space="preserve">7 cells of equal parts </w:t>
      </w:r>
      <w:r w:rsidDel="00000000" w:rsidR="00000000" w:rsidRPr="00000000">
        <w:rPr>
          <w:rFonts w:ascii="Arial" w:cs="Arial" w:eastAsia="Arial" w:hAnsi="Arial"/>
          <w:i w:val="1"/>
          <w:sz w:val="22"/>
          <w:szCs w:val="22"/>
          <w:rtl w:val="0"/>
        </w:rPr>
        <w:t xml:space="preserve">Ensifer medicae</w:t>
      </w:r>
      <w:r w:rsidDel="00000000" w:rsidR="00000000" w:rsidRPr="00000000">
        <w:rPr>
          <w:rFonts w:ascii="Arial" w:cs="Arial" w:eastAsia="Arial" w:hAnsi="Arial"/>
          <w:sz w:val="22"/>
          <w:szCs w:val="22"/>
          <w:rtl w:val="0"/>
        </w:rPr>
        <w:t xml:space="preserve"> strain WSM419 and </w:t>
      </w:r>
      <w:r w:rsidDel="00000000" w:rsidR="00000000" w:rsidRPr="00000000">
        <w:rPr>
          <w:rFonts w:ascii="Arial" w:cs="Arial" w:eastAsia="Arial" w:hAnsi="Arial"/>
          <w:i w:val="1"/>
          <w:sz w:val="22"/>
          <w:szCs w:val="22"/>
          <w:rtl w:val="0"/>
        </w:rPr>
        <w:t xml:space="preserve">E. meliloti</w:t>
      </w:r>
      <w:r w:rsidDel="00000000" w:rsidR="00000000" w:rsidRPr="00000000">
        <w:rPr>
          <w:rFonts w:ascii="Arial" w:cs="Arial" w:eastAsia="Arial" w:hAnsi="Arial"/>
          <w:sz w:val="22"/>
          <w:szCs w:val="22"/>
          <w:rtl w:val="0"/>
        </w:rPr>
        <w:t xml:space="preserve"> strain 1021. During germination, seeds were mist-irrigated twice a day for 20 minutes, and then mist-irrigated daily as needed. </w:t>
      </w:r>
    </w:p>
    <w:p w:rsidR="00000000" w:rsidDel="00000000" w:rsidP="00000000" w:rsidRDefault="00000000" w:rsidRPr="00000000" w14:paraId="000000C1">
      <w:pPr>
        <w:pageBreakBefore w:val="0"/>
        <w:spacing w:line="48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2">
      <w:pPr>
        <w:pageBreakBefore w:val="0"/>
        <w:spacing w:line="480" w:lineRule="auto"/>
        <w:rPr>
          <w:rFonts w:ascii="Times" w:cs="Times" w:eastAsia="Times" w:hAnsi="Times"/>
          <w:sz w:val="20"/>
          <w:szCs w:val="20"/>
        </w:rPr>
      </w:pPr>
      <w:r w:rsidDel="00000000" w:rsidR="00000000" w:rsidRPr="00000000">
        <w:rPr>
          <w:rFonts w:ascii="Arial" w:cs="Arial" w:eastAsia="Arial" w:hAnsi="Arial"/>
          <w:i w:val="1"/>
          <w:color w:val="000000"/>
          <w:sz w:val="22"/>
          <w:szCs w:val="22"/>
          <w:rtl w:val="0"/>
        </w:rPr>
        <w:t xml:space="preserve">Herbivore Treatment </w:t>
      </w:r>
      <w:r w:rsidDel="00000000" w:rsidR="00000000" w:rsidRPr="00000000">
        <w:rPr>
          <w:rtl w:val="0"/>
        </w:rPr>
      </w:r>
    </w:p>
    <w:p w:rsidR="00000000" w:rsidDel="00000000" w:rsidP="00000000" w:rsidRDefault="00000000" w:rsidRPr="00000000" w14:paraId="000000C3">
      <w:pPr>
        <w:pageBreakBefore w:val="0"/>
        <w:spacing w:line="480" w:lineRule="auto"/>
        <w:rPr>
          <w:rFonts w:ascii="Times" w:cs="Times" w:eastAsia="Times" w:hAnsi="Times"/>
          <w:sz w:val="20"/>
          <w:szCs w:val="20"/>
        </w:rPr>
      </w:pPr>
      <w:r w:rsidDel="00000000" w:rsidR="00000000" w:rsidRPr="00000000">
        <w:rPr>
          <w:rFonts w:ascii="Arial" w:cs="Arial" w:eastAsia="Arial" w:hAnsi="Arial"/>
          <w:i w:val="1"/>
          <w:color w:val="000000"/>
          <w:sz w:val="22"/>
          <w:szCs w:val="22"/>
          <w:rtl w:val="0"/>
        </w:rPr>
        <w:t xml:space="preserve">S. lycopersicum</w:t>
      </w:r>
      <w:r w:rsidDel="00000000" w:rsidR="00000000" w:rsidRPr="00000000">
        <w:rPr>
          <w:rtl w:val="0"/>
        </w:rPr>
      </w:r>
    </w:p>
    <w:p w:rsidR="00000000" w:rsidDel="00000000" w:rsidP="00000000" w:rsidRDefault="00000000" w:rsidRPr="00000000" w14:paraId="000000C4">
      <w:pPr>
        <w:pageBreakBefore w:val="0"/>
        <w:spacing w:line="480" w:lineRule="auto"/>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Three weeks post-germination, five plants were treated with a combination of regurgitant and herbivory from soybean loopers (</w:t>
      </w:r>
      <w:r w:rsidDel="00000000" w:rsidR="00000000" w:rsidRPr="00000000">
        <w:rPr>
          <w:rFonts w:ascii="Arial" w:cs="Arial" w:eastAsia="Arial" w:hAnsi="Arial"/>
          <w:i w:val="1"/>
          <w:color w:val="000000"/>
          <w:sz w:val="22"/>
          <w:szCs w:val="22"/>
          <w:rtl w:val="0"/>
        </w:rPr>
        <w:t xml:space="preserve">Pseudoplusia includens)</w:t>
      </w:r>
      <w:r w:rsidDel="00000000" w:rsidR="00000000" w:rsidRPr="00000000">
        <w:rPr>
          <w:rFonts w:ascii="Arial" w:cs="Arial" w:eastAsia="Arial" w:hAnsi="Arial"/>
          <w:color w:val="000000"/>
          <w:sz w:val="22"/>
          <w:szCs w:val="22"/>
          <w:rtl w:val="0"/>
        </w:rPr>
        <w:t xml:space="preserve"> for 24 hours. A single soybean looper was placed in a clip cage on a mature leaf. A second leaf near the leaf subjected to herbivory was manually wounded with scissors that were dipped in soybean looper regurgitant. Four replicate leaf samples were taken from each host at 0 and 24 hours and flash frozen in liquid nitrogen for storage at -80°C until processing. Leaf samples were taken from the top half of young leaves.</w:t>
      </w:r>
      <w:r w:rsidDel="00000000" w:rsidR="00000000" w:rsidRPr="00000000">
        <w:rPr>
          <w:rtl w:val="0"/>
        </w:rPr>
      </w:r>
    </w:p>
    <w:p w:rsidR="00000000" w:rsidDel="00000000" w:rsidP="00000000" w:rsidRDefault="00000000" w:rsidRPr="00000000" w14:paraId="000000C5">
      <w:pPr>
        <w:pageBreakBefore w:val="0"/>
        <w:spacing w:line="48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C6">
      <w:pPr>
        <w:pageBreakBefore w:val="0"/>
        <w:spacing w:line="480" w:lineRule="auto"/>
        <w:rPr>
          <w:rFonts w:ascii="Times" w:cs="Times" w:eastAsia="Times" w:hAnsi="Times"/>
          <w:sz w:val="20"/>
          <w:szCs w:val="20"/>
        </w:rPr>
      </w:pPr>
      <w:r w:rsidDel="00000000" w:rsidR="00000000" w:rsidRPr="00000000">
        <w:rPr>
          <w:rFonts w:ascii="Arial" w:cs="Arial" w:eastAsia="Arial" w:hAnsi="Arial"/>
          <w:i w:val="1"/>
          <w:color w:val="000000"/>
          <w:sz w:val="22"/>
          <w:szCs w:val="22"/>
          <w:rtl w:val="0"/>
        </w:rPr>
        <w:t xml:space="preserve">M. polymorpha</w:t>
      </w:r>
      <w:r w:rsidDel="00000000" w:rsidR="00000000" w:rsidRPr="00000000">
        <w:rPr>
          <w:rtl w:val="0"/>
        </w:rPr>
      </w:r>
    </w:p>
    <w:p w:rsidR="00000000" w:rsidDel="00000000" w:rsidP="00000000" w:rsidRDefault="00000000" w:rsidRPr="00000000" w14:paraId="000000C7">
      <w:pPr>
        <w:pageBreakBefore w:val="0"/>
        <w:shd w:fill="ffffff" w:val="clear"/>
        <w:spacing w:line="4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Twenty-four hours prior to tissue collection, soybean looper caterpillars were fed </w:t>
      </w:r>
      <w:r w:rsidDel="00000000" w:rsidR="00000000" w:rsidRPr="00000000">
        <w:rPr>
          <w:rFonts w:ascii="Arial" w:cs="Arial" w:eastAsia="Arial" w:hAnsi="Arial"/>
          <w:i w:val="1"/>
          <w:color w:val="000000"/>
          <w:sz w:val="22"/>
          <w:szCs w:val="22"/>
          <w:rtl w:val="0"/>
        </w:rPr>
        <w:t xml:space="preserve">M. polymorpha </w:t>
      </w:r>
      <w:r w:rsidDel="00000000" w:rsidR="00000000" w:rsidRPr="00000000">
        <w:rPr>
          <w:rFonts w:ascii="Arial" w:cs="Arial" w:eastAsia="Arial" w:hAnsi="Arial"/>
          <w:color w:val="000000"/>
          <w:sz w:val="22"/>
          <w:szCs w:val="22"/>
          <w:rtl w:val="0"/>
        </w:rPr>
        <w:t xml:space="preserve">leaf tissue. Immediately prior to leaf tissue collection, herbivore homogenate was prepared by grinding two caterpillars in 500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deionized water with a mortar and pestle. Full trifoliate leaves were cut with sterilized scissors that had been dipped in the herbivore homogenate, and 50-75 mg of tissue was collected per plant and placed into a 96-well plate on ice. Leaf samples were taken from host plants at 0 and 24 hours and were flash frozen by setting filled plates into liquid nitrogen. Plates were stored at -80°C and shipped on dry ice to Michigan State University. </w:t>
      </w:r>
    </w:p>
    <w:p w:rsidR="00000000" w:rsidDel="00000000" w:rsidP="00000000" w:rsidRDefault="00000000" w:rsidRPr="00000000" w14:paraId="000000C8">
      <w:pPr>
        <w:pageBreakBefore w:val="0"/>
        <w:shd w:fill="ffffff" w:val="clear"/>
        <w:spacing w:line="48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C9">
      <w:pPr>
        <w:pageBreakBefore w:val="0"/>
        <w:spacing w:line="480" w:lineRule="auto"/>
        <w:rPr>
          <w:rFonts w:ascii="Times" w:cs="Times" w:eastAsia="Times" w:hAnsi="Times"/>
          <w:sz w:val="20"/>
          <w:szCs w:val="20"/>
        </w:rPr>
      </w:pPr>
      <w:r w:rsidDel="00000000" w:rsidR="00000000" w:rsidRPr="00000000">
        <w:rPr>
          <w:rFonts w:ascii="Arial" w:cs="Arial" w:eastAsia="Arial" w:hAnsi="Arial"/>
          <w:i w:val="1"/>
          <w:color w:val="000000"/>
          <w:sz w:val="22"/>
          <w:szCs w:val="22"/>
          <w:rtl w:val="0"/>
        </w:rPr>
        <w:t xml:space="preserve">Regurgitant collection</w:t>
      </w:r>
      <w:r w:rsidDel="00000000" w:rsidR="00000000" w:rsidRPr="00000000">
        <w:rPr>
          <w:rtl w:val="0"/>
        </w:rPr>
      </w:r>
    </w:p>
    <w:p w:rsidR="00000000" w:rsidDel="00000000" w:rsidP="00000000" w:rsidRDefault="00000000" w:rsidRPr="00000000" w14:paraId="000000CA">
      <w:pPr>
        <w:pageBreakBefore w:val="0"/>
        <w:spacing w:line="480" w:lineRule="auto"/>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Regurgitant was generated by compressing soybean looper stomachs with forceps post feeding on corresponding host plants. Regurgitant was deposited directly into sterile eppendorf tubes and frozen at -20°C. </w:t>
      </w:r>
      <w:r w:rsidDel="00000000" w:rsidR="00000000" w:rsidRPr="00000000">
        <w:rPr>
          <w:rtl w:val="0"/>
        </w:rPr>
      </w:r>
    </w:p>
    <w:p w:rsidR="00000000" w:rsidDel="00000000" w:rsidP="00000000" w:rsidRDefault="00000000" w:rsidRPr="00000000" w14:paraId="000000CB">
      <w:pPr>
        <w:pageBreakBefore w:val="0"/>
        <w:spacing w:line="48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CC">
      <w:pPr>
        <w:pageBreakBefore w:val="0"/>
        <w:spacing w:line="480" w:lineRule="auto"/>
        <w:rPr>
          <w:rFonts w:ascii="Times" w:cs="Times" w:eastAsia="Times" w:hAnsi="Times"/>
          <w:sz w:val="20"/>
          <w:szCs w:val="20"/>
        </w:rPr>
      </w:pPr>
      <w:r w:rsidDel="00000000" w:rsidR="00000000" w:rsidRPr="00000000">
        <w:rPr>
          <w:rFonts w:ascii="Arial" w:cs="Arial" w:eastAsia="Arial" w:hAnsi="Arial"/>
          <w:i w:val="1"/>
          <w:color w:val="000000"/>
          <w:sz w:val="22"/>
          <w:szCs w:val="22"/>
          <w:rtl w:val="0"/>
        </w:rPr>
        <w:t xml:space="preserve">Biochemical Assays</w:t>
      </w:r>
      <w:r w:rsidDel="00000000" w:rsidR="00000000" w:rsidRPr="00000000">
        <w:rPr>
          <w:rtl w:val="0"/>
        </w:rPr>
      </w:r>
    </w:p>
    <w:p w:rsidR="00000000" w:rsidDel="00000000" w:rsidP="00000000" w:rsidRDefault="00000000" w:rsidRPr="00000000" w14:paraId="000000CD">
      <w:pPr>
        <w:pageBreakBefore w:val="0"/>
        <w:spacing w:line="480" w:lineRule="auto"/>
        <w:rPr>
          <w:rFonts w:ascii="Times" w:cs="Times" w:eastAsia="Times" w:hAnsi="Times"/>
          <w:sz w:val="20"/>
          <w:szCs w:val="20"/>
        </w:rPr>
      </w:pPr>
      <w:r w:rsidDel="00000000" w:rsidR="00000000" w:rsidRPr="00000000">
        <w:rPr>
          <w:rFonts w:ascii="Arial" w:cs="Arial" w:eastAsia="Arial" w:hAnsi="Arial"/>
          <w:i w:val="1"/>
          <w:color w:val="000000"/>
          <w:sz w:val="22"/>
          <w:szCs w:val="22"/>
          <w:rtl w:val="0"/>
        </w:rPr>
        <w:t xml:space="preserve">Extraction and homogenization</w:t>
      </w:r>
      <w:r w:rsidDel="00000000" w:rsidR="00000000" w:rsidRPr="00000000">
        <w:rPr>
          <w:rtl w:val="0"/>
        </w:rPr>
      </w:r>
    </w:p>
    <w:p w:rsidR="00000000" w:rsidDel="00000000" w:rsidP="00000000" w:rsidRDefault="00000000" w:rsidRPr="00000000" w14:paraId="000000CE">
      <w:pPr>
        <w:pageBreakBefore w:val="0"/>
        <w:spacing w:line="480" w:lineRule="auto"/>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Leaf tissue from each plant was placed into two eppendorf tubes and weighed. The tubes were homogenized for 15 minutes at 300 rpm in a tissuelyser (QIAGEN TissueLyser II)</w:t>
      </w:r>
      <w:r w:rsidDel="00000000" w:rsidR="00000000" w:rsidRPr="00000000">
        <w:rPr>
          <w:rFonts w:ascii="Arial" w:cs="Arial" w:eastAsia="Arial" w:hAnsi="Arial"/>
          <w:b w:val="1"/>
          <w:color w:val="000000"/>
          <w:sz w:val="22"/>
          <w:szCs w:val="22"/>
          <w:rtl w:val="0"/>
        </w:rPr>
        <w:t xml:space="preserve">.</w:t>
      </w:r>
      <w:r w:rsidDel="00000000" w:rsidR="00000000" w:rsidRPr="00000000">
        <w:rPr>
          <w:rFonts w:ascii="Arial" w:cs="Arial" w:eastAsia="Arial" w:hAnsi="Arial"/>
          <w:color w:val="000000"/>
          <w:sz w:val="22"/>
          <w:szCs w:val="22"/>
          <w:rtl w:val="0"/>
        </w:rPr>
        <w:t xml:space="preserve"> One tube received 1m</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 of the 0.1% TCA buffer, while the other received 1 ml of the PE buffer (1mM EDTA, 88mM Trizma Base, 10% glycerol) (Figure 1). Table 1 lists what buffer samples were used in each assay. The tubes were centrifuged at 4°C for 10 minutes at 15000 rpm in an accuSpin Micro 17 centrifuge (Fisher Scientific) and the supernatant pipetted into clean tubes. The PE buffer tubes were then diluted to 1/10X. All absorbance values were run on a SpectraMax M2 spectrophotometer and microplate reader. </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1.</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buffer conditions for each assay</w:t>
      </w:r>
      <w:r w:rsidDel="00000000" w:rsidR="00000000" w:rsidRPr="00000000">
        <w:rPr>
          <w:rtl w:val="0"/>
        </w:rPr>
      </w:r>
    </w:p>
    <w:p w:rsidR="00000000" w:rsidDel="00000000" w:rsidP="00000000" w:rsidRDefault="00000000" w:rsidRPr="00000000" w14:paraId="000000D1">
      <w:pPr>
        <w:pageBreakBefore w:val="0"/>
        <w:rPr>
          <w:rFonts w:ascii="Times" w:cs="Times" w:eastAsia="Times" w:hAnsi="Times"/>
          <w:sz w:val="20"/>
          <w:szCs w:val="20"/>
        </w:rPr>
      </w:pPr>
      <w:r w:rsidDel="00000000" w:rsidR="00000000" w:rsidRPr="00000000">
        <w:rPr>
          <w:rtl w:val="0"/>
        </w:rPr>
      </w:r>
    </w:p>
    <w:tbl>
      <w:tblPr>
        <w:tblStyle w:val="Table3"/>
        <w:tblW w:w="4171.0" w:type="dxa"/>
        <w:jc w:val="left"/>
        <w:tblInd w:w="0.0" w:type="dxa"/>
        <w:tblLayout w:type="fixed"/>
        <w:tblLook w:val="0400"/>
      </w:tblPr>
      <w:tblGrid>
        <w:gridCol w:w="2304"/>
        <w:gridCol w:w="848"/>
        <w:gridCol w:w="1019"/>
        <w:tblGridChange w:id="0">
          <w:tblGrid>
            <w:gridCol w:w="2304"/>
            <w:gridCol w:w="848"/>
            <w:gridCol w:w="101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pageBreakBefore w:val="0"/>
              <w:jc w:val="center"/>
              <w:rPr>
                <w:rFonts w:ascii="Times" w:cs="Times" w:eastAsia="Times" w:hAnsi="Times"/>
                <w:sz w:val="20"/>
                <w:szCs w:val="20"/>
              </w:rPr>
            </w:pPr>
            <w:r w:rsidDel="00000000" w:rsidR="00000000" w:rsidRPr="00000000">
              <w:rPr>
                <w:rFonts w:ascii="Arial" w:cs="Arial" w:eastAsia="Arial" w:hAnsi="Arial"/>
                <w:b w:val="1"/>
                <w:color w:val="000000"/>
                <w:sz w:val="22"/>
                <w:szCs w:val="22"/>
                <w:rtl w:val="0"/>
              </w:rPr>
              <w:t xml:space="preserve">Assay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pageBreakBefore w:val="0"/>
              <w:jc w:val="center"/>
              <w:rPr>
                <w:rFonts w:ascii="Times" w:cs="Times" w:eastAsia="Times" w:hAnsi="Times"/>
                <w:sz w:val="20"/>
                <w:szCs w:val="20"/>
              </w:rPr>
            </w:pPr>
            <w:r w:rsidDel="00000000" w:rsidR="00000000" w:rsidRPr="00000000">
              <w:rPr>
                <w:rFonts w:ascii="Arial" w:cs="Arial" w:eastAsia="Arial" w:hAnsi="Arial"/>
                <w:b w:val="1"/>
                <w:color w:val="000000"/>
                <w:sz w:val="22"/>
                <w:szCs w:val="22"/>
                <w:rtl w:val="0"/>
              </w:rPr>
              <w:t xml:space="preserve">Buffer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pageBreakBefore w:val="0"/>
              <w:jc w:val="center"/>
              <w:rPr>
                <w:rFonts w:ascii="Times" w:cs="Times" w:eastAsia="Times" w:hAnsi="Times"/>
                <w:sz w:val="20"/>
                <w:szCs w:val="20"/>
              </w:rPr>
            </w:pPr>
            <w:r w:rsidDel="00000000" w:rsidR="00000000" w:rsidRPr="00000000">
              <w:rPr>
                <w:rFonts w:ascii="Arial" w:cs="Arial" w:eastAsia="Arial" w:hAnsi="Arial"/>
                <w:b w:val="1"/>
                <w:color w:val="000000"/>
                <w:sz w:val="22"/>
                <w:szCs w:val="22"/>
                <w:rtl w:val="0"/>
              </w:rPr>
              <w:t xml:space="preserve">Dilution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Protein Quantification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PE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0.1x</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Polyphenol Oxidase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0.1x</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Peroxidase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0.1x</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Proteinase Inhibitor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0.1x</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Hydrogen Peroxide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TCA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pageBreakBefore w:val="0"/>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1x</w:t>
            </w:r>
            <w:r w:rsidDel="00000000" w:rsidR="00000000" w:rsidRPr="00000000">
              <w:rPr>
                <w:rtl w:val="0"/>
              </w:rPr>
            </w:r>
          </w:p>
        </w:tc>
      </w:tr>
    </w:tbl>
    <w:p w:rsidR="00000000" w:rsidDel="00000000" w:rsidP="00000000" w:rsidRDefault="00000000" w:rsidRPr="00000000" w14:paraId="000000E4">
      <w:pPr>
        <w:pageBreakBefore w:val="0"/>
        <w:spacing w:line="48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E5">
      <w:pPr>
        <w:pageBreakBefore w:val="0"/>
        <w:spacing w:line="480" w:lineRule="auto"/>
        <w:rPr>
          <w:rFonts w:ascii="Times" w:cs="Times" w:eastAsia="Times" w:hAnsi="Times"/>
          <w:sz w:val="20"/>
          <w:szCs w:val="20"/>
        </w:rPr>
      </w:pPr>
      <w:r w:rsidDel="00000000" w:rsidR="00000000" w:rsidRPr="00000000">
        <w:rPr>
          <w:rFonts w:ascii="Arial" w:cs="Arial" w:eastAsia="Arial" w:hAnsi="Arial"/>
          <w:i w:val="1"/>
          <w:color w:val="000000"/>
          <w:sz w:val="22"/>
          <w:szCs w:val="22"/>
          <w:rtl w:val="0"/>
        </w:rPr>
        <w:t xml:space="preserve">Protein Quantification</w:t>
      </w:r>
      <w:r w:rsidDel="00000000" w:rsidR="00000000" w:rsidRPr="00000000">
        <w:rPr>
          <w:rtl w:val="0"/>
        </w:rPr>
      </w:r>
    </w:p>
    <w:p w:rsidR="00000000" w:rsidDel="00000000" w:rsidP="00000000" w:rsidRDefault="00000000" w:rsidRPr="00000000" w14:paraId="000000E6">
      <w:pPr>
        <w:pageBreakBefore w:val="0"/>
        <w:spacing w:line="480" w:lineRule="auto"/>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Protein quantification was performed using the Thermo Scientific</w:t>
      </w:r>
      <w:r w:rsidDel="00000000" w:rsidR="00000000" w:rsidRPr="00000000">
        <w:rPr>
          <w:rFonts w:ascii="Arial" w:cs="Arial" w:eastAsia="Arial" w:hAnsi="Arial"/>
          <w:color w:val="000000"/>
          <w:sz w:val="22"/>
          <w:szCs w:val="22"/>
          <w:vertAlign w:val="superscript"/>
          <w:rtl w:val="0"/>
        </w:rPr>
        <w:t xml:space="preserve">  </w:t>
      </w:r>
      <w:r w:rsidDel="00000000" w:rsidR="00000000" w:rsidRPr="00000000">
        <w:rPr>
          <w:rFonts w:ascii="Arial" w:cs="Arial" w:eastAsia="Arial" w:hAnsi="Arial"/>
          <w:color w:val="000000"/>
          <w:sz w:val="22"/>
          <w:szCs w:val="22"/>
          <w:rtl w:val="0"/>
        </w:rPr>
        <w:t xml:space="preserve">Pierce</w:t>
      </w:r>
      <w:r w:rsidDel="00000000" w:rsidR="00000000" w:rsidRPr="00000000">
        <w:rPr>
          <w:rFonts w:ascii="Arial" w:cs="Arial" w:eastAsia="Arial" w:hAnsi="Arial"/>
          <w:color w:val="000000"/>
          <w:sz w:val="22"/>
          <w:szCs w:val="22"/>
          <w:vertAlign w:val="superscript"/>
          <w:rtl w:val="0"/>
        </w:rPr>
        <w:t xml:space="preserve">TM</w:t>
      </w:r>
      <w:r w:rsidDel="00000000" w:rsidR="00000000" w:rsidRPr="00000000">
        <w:rPr>
          <w:rFonts w:ascii="Arial" w:cs="Arial" w:eastAsia="Arial" w:hAnsi="Arial"/>
          <w:color w:val="000000"/>
          <w:sz w:val="22"/>
          <w:szCs w:val="22"/>
          <w:rtl w:val="0"/>
        </w:rPr>
        <w:t xml:space="preserve"> BCA Protein Assay Kit (Product number: 23337) according to manufacturer instructions for microplate samples. </w:t>
      </w:r>
      <w:r w:rsidDel="00000000" w:rsidR="00000000" w:rsidRPr="00000000">
        <w:rPr>
          <w:rtl w:val="0"/>
        </w:rPr>
      </w:r>
    </w:p>
    <w:p w:rsidR="00000000" w:rsidDel="00000000" w:rsidP="00000000" w:rsidRDefault="00000000" w:rsidRPr="00000000" w14:paraId="000000E7">
      <w:pPr>
        <w:pageBreakBefore w:val="0"/>
        <w:spacing w:line="48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E8">
      <w:pPr>
        <w:pageBreakBefore w:val="0"/>
        <w:spacing w:line="480" w:lineRule="auto"/>
        <w:rPr>
          <w:rFonts w:ascii="Times" w:cs="Times" w:eastAsia="Times" w:hAnsi="Times"/>
          <w:sz w:val="20"/>
          <w:szCs w:val="20"/>
        </w:rPr>
      </w:pPr>
      <w:r w:rsidDel="00000000" w:rsidR="00000000" w:rsidRPr="00000000">
        <w:rPr>
          <w:rFonts w:ascii="Arial" w:cs="Arial" w:eastAsia="Arial" w:hAnsi="Arial"/>
          <w:i w:val="1"/>
          <w:color w:val="000000"/>
          <w:sz w:val="22"/>
          <w:szCs w:val="22"/>
          <w:rtl w:val="0"/>
        </w:rPr>
        <w:t xml:space="preserve">Peroxidase (POD) Activity</w:t>
      </w:r>
      <w:r w:rsidDel="00000000" w:rsidR="00000000" w:rsidRPr="00000000">
        <w:rPr>
          <w:rFonts w:ascii="Arial" w:cs="Arial" w:eastAsia="Arial" w:hAnsi="Arial"/>
          <w:color w:val="000000"/>
          <w:sz w:val="22"/>
          <w:szCs w:val="22"/>
          <w:u w:val="single"/>
          <w:rtl w:val="0"/>
        </w:rPr>
        <w:t xml:space="preserve"> </w:t>
      </w:r>
      <w:r w:rsidDel="00000000" w:rsidR="00000000" w:rsidRPr="00000000">
        <w:rPr>
          <w:rtl w:val="0"/>
        </w:rPr>
      </w:r>
    </w:p>
    <w:p w:rsidR="00000000" w:rsidDel="00000000" w:rsidP="00000000" w:rsidRDefault="00000000" w:rsidRPr="00000000" w14:paraId="000000E9">
      <w:pPr>
        <w:pageBreakBefore w:val="0"/>
        <w:spacing w:line="4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Sample aliquots were taken from the 1/10x PE buffer extraction. Each sample was processed in triplicate with a tissue specific control containing no guaiacol. Wells of the microplate designated as treatment wells received 143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peroxidase buffer (100 mM sodium phosphate buffer (pH 6.5) containing 5 mM guaiacol). Wells designated for controls received 143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100mM sodium phosphate buffer (ph 6.5). 25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supernatant (enzyme source) was added to each well.  We then added 32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5 mM H</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O</w:t>
      </w:r>
      <w:r w:rsidDel="00000000" w:rsidR="00000000" w:rsidRPr="00000000">
        <w:rPr>
          <w:rFonts w:ascii="Arial" w:cs="Arial" w:eastAsia="Arial" w:hAnsi="Arial"/>
          <w:color w:val="000000"/>
          <w:sz w:val="22"/>
          <w:szCs w:val="22"/>
          <w:vertAlign w:val="subscript"/>
          <w:rtl w:val="0"/>
        </w:rPr>
        <w:t xml:space="preserve">2  </w:t>
      </w:r>
      <w:r w:rsidDel="00000000" w:rsidR="00000000" w:rsidRPr="00000000">
        <w:rPr>
          <w:rFonts w:ascii="Arial" w:cs="Arial" w:eastAsia="Arial" w:hAnsi="Arial"/>
          <w:color w:val="000000"/>
          <w:sz w:val="22"/>
          <w:szCs w:val="22"/>
          <w:rtl w:val="0"/>
        </w:rPr>
        <w:t xml:space="preserve">(final concentration 0.8 mM) and incubated the plates in the dark for 15 minutes at room temperature. Absorbance was read at 470 nm and enzyme content was expressed as [(Abs</w:t>
      </w:r>
      <w:r w:rsidDel="00000000" w:rsidR="00000000" w:rsidRPr="00000000">
        <w:rPr>
          <w:rFonts w:ascii="Arial" w:cs="Arial" w:eastAsia="Arial" w:hAnsi="Arial"/>
          <w:color w:val="000000"/>
          <w:sz w:val="22"/>
          <w:szCs w:val="22"/>
          <w:vertAlign w:val="subscript"/>
          <w:rtl w:val="0"/>
        </w:rPr>
        <w:t xml:space="preserve">Trt</w:t>
      </w:r>
      <w:r w:rsidDel="00000000" w:rsidR="00000000" w:rsidRPr="00000000">
        <w:rPr>
          <w:rFonts w:ascii="Arial" w:cs="Arial" w:eastAsia="Arial" w:hAnsi="Arial"/>
          <w:color w:val="000000"/>
          <w:sz w:val="22"/>
          <w:szCs w:val="22"/>
          <w:rtl w:val="0"/>
        </w:rPr>
        <w:t xml:space="preserve"> - Abs</w:t>
      </w:r>
      <w:r w:rsidDel="00000000" w:rsidR="00000000" w:rsidRPr="00000000">
        <w:rPr>
          <w:rFonts w:ascii="Arial" w:cs="Arial" w:eastAsia="Arial" w:hAnsi="Arial"/>
          <w:color w:val="000000"/>
          <w:sz w:val="22"/>
          <w:szCs w:val="22"/>
          <w:vertAlign w:val="subscript"/>
          <w:rtl w:val="0"/>
        </w:rPr>
        <w:t xml:space="preserve">Ctrl</w:t>
      </w:r>
      <w:r w:rsidDel="00000000" w:rsidR="00000000" w:rsidRPr="00000000">
        <w:rPr>
          <w:rFonts w:ascii="Arial" w:cs="Arial" w:eastAsia="Arial" w:hAnsi="Arial"/>
          <w:color w:val="000000"/>
          <w:sz w:val="22"/>
          <w:szCs w:val="22"/>
          <w:rtl w:val="0"/>
        </w:rPr>
        <w:t xml:space="preserve">) FW</w:t>
      </w:r>
      <w:r w:rsidDel="00000000" w:rsidR="00000000" w:rsidRPr="00000000">
        <w:rPr>
          <w:rFonts w:ascii="Arial" w:cs="Arial" w:eastAsia="Arial" w:hAnsi="Arial"/>
          <w:color w:val="000000"/>
          <w:sz w:val="22"/>
          <w:szCs w:val="22"/>
          <w:vertAlign w:val="superscript"/>
          <w:rtl w:val="0"/>
        </w:rPr>
        <w:t xml:space="preserve">-1</w:t>
      </w:r>
      <w:r w:rsidDel="00000000" w:rsidR="00000000" w:rsidRPr="00000000">
        <w:rPr>
          <w:rFonts w:ascii="Arial" w:cs="Arial" w:eastAsia="Arial" w:hAnsi="Arial"/>
          <w:color w:val="000000"/>
          <w:sz w:val="22"/>
          <w:szCs w:val="22"/>
          <w:rtl w:val="0"/>
        </w:rPr>
        <w:t xml:space="preserve">] (Abs g</w:t>
      </w:r>
      <w:r w:rsidDel="00000000" w:rsidR="00000000" w:rsidRPr="00000000">
        <w:rPr>
          <w:rFonts w:ascii="Arial" w:cs="Arial" w:eastAsia="Arial" w:hAnsi="Arial"/>
          <w:color w:val="000000"/>
          <w:sz w:val="22"/>
          <w:szCs w:val="22"/>
          <w:vertAlign w:val="superscript"/>
          <w:rtl w:val="0"/>
        </w:rPr>
        <w:t xml:space="preserve">-1</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EA">
      <w:pPr>
        <w:pageBreakBefore w:val="0"/>
        <w:spacing w:line="48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EB">
      <w:pPr>
        <w:pageBreakBefore w:val="0"/>
        <w:spacing w:line="480" w:lineRule="auto"/>
        <w:rPr>
          <w:rFonts w:ascii="Times" w:cs="Times" w:eastAsia="Times" w:hAnsi="Times"/>
          <w:sz w:val="20"/>
          <w:szCs w:val="20"/>
        </w:rPr>
      </w:pPr>
      <w:r w:rsidDel="00000000" w:rsidR="00000000" w:rsidRPr="00000000">
        <w:rPr>
          <w:rFonts w:ascii="Arial" w:cs="Arial" w:eastAsia="Arial" w:hAnsi="Arial"/>
          <w:i w:val="1"/>
          <w:color w:val="000000"/>
          <w:sz w:val="22"/>
          <w:szCs w:val="22"/>
          <w:rtl w:val="0"/>
        </w:rPr>
        <w:t xml:space="preserve">Polyphenol Oxidase (PPO) Activity </w:t>
      </w:r>
      <w:r w:rsidDel="00000000" w:rsidR="00000000" w:rsidRPr="00000000">
        <w:rPr>
          <w:rtl w:val="0"/>
        </w:rPr>
      </w:r>
    </w:p>
    <w:p w:rsidR="00000000" w:rsidDel="00000000" w:rsidP="00000000" w:rsidRDefault="00000000" w:rsidRPr="00000000" w14:paraId="000000EC">
      <w:pPr>
        <w:pageBreakBefore w:val="0"/>
        <w:spacing w:line="480" w:lineRule="auto"/>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Sample aliquots were taken from the 1/10x PE buffer extraction. Each sample was processed in triplicate with a tissue specific control. Wells of the microplate designated as treatment wells received 115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100 mM sodium phosphate buffer (pH 6.8) and </w:t>
      </w:r>
      <w:r w:rsidDel="00000000" w:rsidR="00000000" w:rsidRPr="00000000">
        <w:rPr>
          <w:rFonts w:ascii="Arial" w:cs="Arial" w:eastAsia="Arial" w:hAnsi="Arial"/>
          <w:color w:val="000000"/>
          <w:sz w:val="22"/>
          <w:szCs w:val="22"/>
          <w:highlight w:val="white"/>
          <w:rtl w:val="0"/>
        </w:rPr>
        <w:t xml:space="preserve">60</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50 mM pyrocatechol. Control wells received </w:t>
      </w:r>
      <w:r w:rsidDel="00000000" w:rsidR="00000000" w:rsidRPr="00000000">
        <w:rPr>
          <w:rFonts w:ascii="Arial" w:cs="Arial" w:eastAsia="Arial" w:hAnsi="Arial"/>
          <w:color w:val="000000"/>
          <w:sz w:val="22"/>
          <w:szCs w:val="22"/>
          <w:highlight w:val="white"/>
          <w:rtl w:val="0"/>
        </w:rPr>
        <w:t xml:space="preserve">175</w:t>
      </w:r>
      <w:r w:rsidDel="00000000" w:rsidR="00000000" w:rsidRPr="00000000">
        <w:rPr>
          <w:rFonts w:ascii="Arial" w:cs="Arial" w:eastAsia="Arial" w:hAnsi="Arial"/>
          <w:color w:val="000000"/>
          <w:sz w:val="22"/>
          <w:szCs w:val="22"/>
          <w:rtl w:val="0"/>
        </w:rPr>
        <w:t xml:space="preserve"> uL of 100 mM sodium phosphate buffer (pH 6.8). 25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supernatant (enzyme source) was added to all wells and samples were incubated for 5 minutes. Absorbance was read on the microplate reader at 420 nm and enzyme content was expressed as [(Abs</w:t>
      </w:r>
      <w:r w:rsidDel="00000000" w:rsidR="00000000" w:rsidRPr="00000000">
        <w:rPr>
          <w:rFonts w:ascii="Arial" w:cs="Arial" w:eastAsia="Arial" w:hAnsi="Arial"/>
          <w:color w:val="000000"/>
          <w:sz w:val="22"/>
          <w:szCs w:val="22"/>
          <w:vertAlign w:val="subscript"/>
          <w:rtl w:val="0"/>
        </w:rPr>
        <w:t xml:space="preserve">Trt</w:t>
      </w:r>
      <w:r w:rsidDel="00000000" w:rsidR="00000000" w:rsidRPr="00000000">
        <w:rPr>
          <w:rFonts w:ascii="Arial" w:cs="Arial" w:eastAsia="Arial" w:hAnsi="Arial"/>
          <w:color w:val="000000"/>
          <w:sz w:val="22"/>
          <w:szCs w:val="22"/>
          <w:rtl w:val="0"/>
        </w:rPr>
        <w:t xml:space="preserve"> - Abs</w:t>
      </w:r>
      <w:r w:rsidDel="00000000" w:rsidR="00000000" w:rsidRPr="00000000">
        <w:rPr>
          <w:rFonts w:ascii="Arial" w:cs="Arial" w:eastAsia="Arial" w:hAnsi="Arial"/>
          <w:color w:val="000000"/>
          <w:sz w:val="22"/>
          <w:szCs w:val="22"/>
          <w:vertAlign w:val="subscript"/>
          <w:rtl w:val="0"/>
        </w:rPr>
        <w:t xml:space="preserve">Ctrl</w:t>
      </w:r>
      <w:r w:rsidDel="00000000" w:rsidR="00000000" w:rsidRPr="00000000">
        <w:rPr>
          <w:rFonts w:ascii="Arial" w:cs="Arial" w:eastAsia="Arial" w:hAnsi="Arial"/>
          <w:color w:val="000000"/>
          <w:sz w:val="22"/>
          <w:szCs w:val="22"/>
          <w:rtl w:val="0"/>
        </w:rPr>
        <w:t xml:space="preserve">) FW</w:t>
      </w:r>
      <w:r w:rsidDel="00000000" w:rsidR="00000000" w:rsidRPr="00000000">
        <w:rPr>
          <w:rFonts w:ascii="Arial" w:cs="Arial" w:eastAsia="Arial" w:hAnsi="Arial"/>
          <w:color w:val="000000"/>
          <w:sz w:val="22"/>
          <w:szCs w:val="22"/>
          <w:vertAlign w:val="superscript"/>
          <w:rtl w:val="0"/>
        </w:rPr>
        <w:t xml:space="preserve">-1</w:t>
      </w:r>
      <w:r w:rsidDel="00000000" w:rsidR="00000000" w:rsidRPr="00000000">
        <w:rPr>
          <w:rFonts w:ascii="Arial" w:cs="Arial" w:eastAsia="Arial" w:hAnsi="Arial"/>
          <w:color w:val="000000"/>
          <w:sz w:val="22"/>
          <w:szCs w:val="22"/>
          <w:rtl w:val="0"/>
        </w:rPr>
        <w:t xml:space="preserve">] (Abs g</w:t>
      </w:r>
      <w:r w:rsidDel="00000000" w:rsidR="00000000" w:rsidRPr="00000000">
        <w:rPr>
          <w:rFonts w:ascii="Arial" w:cs="Arial" w:eastAsia="Arial" w:hAnsi="Arial"/>
          <w:color w:val="000000"/>
          <w:sz w:val="22"/>
          <w:szCs w:val="22"/>
          <w:vertAlign w:val="superscript"/>
          <w:rtl w:val="0"/>
        </w:rPr>
        <w:t xml:space="preserve">-1</w:t>
      </w: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14:paraId="000000ED">
      <w:pPr>
        <w:pageBreakBefore w:val="0"/>
        <w:spacing w:line="48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EE">
      <w:pPr>
        <w:pageBreakBefore w:val="0"/>
        <w:spacing w:line="480" w:lineRule="auto"/>
        <w:rPr>
          <w:rFonts w:ascii="Times" w:cs="Times" w:eastAsia="Times" w:hAnsi="Times"/>
          <w:sz w:val="22"/>
          <w:szCs w:val="22"/>
        </w:rPr>
      </w:pPr>
      <w:r w:rsidDel="00000000" w:rsidR="00000000" w:rsidRPr="00000000">
        <w:rPr>
          <w:rFonts w:ascii="Arial" w:cs="Arial" w:eastAsia="Arial" w:hAnsi="Arial"/>
          <w:i w:val="1"/>
          <w:color w:val="000000"/>
          <w:sz w:val="22"/>
          <w:szCs w:val="22"/>
          <w:rtl w:val="0"/>
        </w:rPr>
        <w:t xml:space="preserve">Hydrogen Peroxide (H</w:t>
      </w:r>
      <w:r w:rsidDel="00000000" w:rsidR="00000000" w:rsidRPr="00000000">
        <w:rPr>
          <w:rFonts w:ascii="Arial" w:cs="Arial" w:eastAsia="Arial" w:hAnsi="Arial"/>
          <w:i w:val="1"/>
          <w:color w:val="000000"/>
          <w:sz w:val="22"/>
          <w:szCs w:val="22"/>
          <w:vertAlign w:val="subscript"/>
          <w:rtl w:val="0"/>
        </w:rPr>
        <w:t xml:space="preserve">2</w:t>
      </w:r>
      <w:r w:rsidDel="00000000" w:rsidR="00000000" w:rsidRPr="00000000">
        <w:rPr>
          <w:rFonts w:ascii="Arial" w:cs="Arial" w:eastAsia="Arial" w:hAnsi="Arial"/>
          <w:i w:val="1"/>
          <w:color w:val="000000"/>
          <w:sz w:val="22"/>
          <w:szCs w:val="22"/>
          <w:rtl w:val="0"/>
        </w:rPr>
        <w:t xml:space="preserve">O</w:t>
      </w:r>
      <w:r w:rsidDel="00000000" w:rsidR="00000000" w:rsidRPr="00000000">
        <w:rPr>
          <w:rFonts w:ascii="Arial" w:cs="Arial" w:eastAsia="Arial" w:hAnsi="Arial"/>
          <w:i w:val="1"/>
          <w:color w:val="000000"/>
          <w:sz w:val="22"/>
          <w:szCs w:val="22"/>
          <w:vertAlign w:val="subscript"/>
          <w:rtl w:val="0"/>
        </w:rPr>
        <w:t xml:space="preserve">2</w:t>
      </w:r>
      <w:r w:rsidDel="00000000" w:rsidR="00000000" w:rsidRPr="00000000">
        <w:rPr>
          <w:rFonts w:ascii="Arial" w:cs="Arial" w:eastAsia="Arial" w:hAnsi="Arial"/>
          <w:i w:val="1"/>
          <w:color w:val="000000"/>
          <w:sz w:val="22"/>
          <w:szCs w:val="22"/>
          <w:rtl w:val="0"/>
        </w:rPr>
        <w:t xml:space="preserve">)</w:t>
      </w:r>
      <w:r w:rsidDel="00000000" w:rsidR="00000000" w:rsidRPr="00000000">
        <w:rPr>
          <w:rFonts w:ascii="Arial" w:cs="Arial" w:eastAsia="Arial" w:hAnsi="Arial"/>
          <w:i w:val="1"/>
          <w:color w:val="000000"/>
          <w:sz w:val="22"/>
          <w:szCs w:val="22"/>
          <w:vertAlign w:val="subscript"/>
          <w:rtl w:val="0"/>
        </w:rPr>
        <w:t xml:space="preserve"> </w:t>
      </w:r>
      <w:r w:rsidDel="00000000" w:rsidR="00000000" w:rsidRPr="00000000">
        <w:rPr>
          <w:rFonts w:ascii="Arial" w:cs="Arial" w:eastAsia="Arial" w:hAnsi="Arial"/>
          <w:i w:val="1"/>
          <w:color w:val="000000"/>
          <w:sz w:val="22"/>
          <w:szCs w:val="22"/>
          <w:rtl w:val="0"/>
        </w:rPr>
        <w:t xml:space="preserve">Quantification</w:t>
      </w:r>
      <w:r w:rsidDel="00000000" w:rsidR="00000000" w:rsidRPr="00000000">
        <w:rPr>
          <w:rtl w:val="0"/>
        </w:rPr>
      </w:r>
    </w:p>
    <w:p w:rsidR="00000000" w:rsidDel="00000000" w:rsidP="00000000" w:rsidRDefault="00000000" w:rsidRPr="00000000" w14:paraId="000000EF">
      <w:pPr>
        <w:pageBreakBefore w:val="0"/>
        <w:spacing w:line="4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Sample aliquots were taken from the 0.1% TCA buffer extraction. All sample wells received 100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1M potassium iodide (KI), 50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10mM Potassium Phosphate buffer (pH 6.5), and 50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sample aliquot. Control wells received 100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dH</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O, 50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10mM Potassium Phosphate buffer (pH 6.5), and 50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sample aliquot to account for tissue coloration. Samples were incubated in the dark for 20 minutes at room temperature. A standard curve was prepared by preparing wells with 100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1M potassium iodide (KI), 50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10mM Potassium Phosphate buffer (pH 6.5), and 50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0.1% TCA then seeding with known amounts (5-20 nmoles) of H2O2. Absorbance was measured at 390 nm and values were compared to the standard curve for quantification in nmoles. </w:t>
      </w:r>
    </w:p>
    <w:p w:rsidR="00000000" w:rsidDel="00000000" w:rsidP="00000000" w:rsidRDefault="00000000" w:rsidRPr="00000000" w14:paraId="000000F0">
      <w:pPr>
        <w:pageBreakBefore w:val="0"/>
        <w:spacing w:line="48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F1">
      <w:pPr>
        <w:pageBreakBefore w:val="0"/>
        <w:spacing w:line="4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Proteinase Inhibition (PI) Activity</w:t>
      </w:r>
    </w:p>
    <w:p w:rsidR="00000000" w:rsidDel="00000000" w:rsidP="00000000" w:rsidRDefault="00000000" w:rsidRPr="00000000" w14:paraId="000000F2">
      <w:pPr>
        <w:pageBreakBefore w:val="0"/>
        <w:spacing w:line="4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Activity is represented by the inhibition of trypsin. Sample aliquots were taken from the 1/10x PE buffer. Reactions were prepared using 100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enzyme source, 133.3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Trizma Base buffer, 83.3 uL of 2% azocasein dissolved in Trizma Base buffer, and 33.3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0.001 M HCl solution containing 200 ng of trypsin. Sample controls were prepared the same way, except that the additional Trizma Base was substituted for the trypsin. Assay controls were prepared with 100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Trizma Base instead of enzyme source. The negative control also substituted Trizma Base for the trypsin solution. Samples were incubated at 30°C for 25 minutes. Post-incubation, 133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100% w/v TCA was added and samples were centrifuged at 8000 rpm for 10 minutes. 100 </w:t>
      </w:r>
      <w:r w:rsidDel="00000000" w:rsidR="00000000" w:rsidRPr="00000000">
        <w:rPr>
          <w:rFonts w:ascii="Arial" w:cs="Arial" w:eastAsia="Arial" w:hAnsi="Arial"/>
          <w:sz w:val="22"/>
          <w:szCs w:val="22"/>
          <w:rtl w:val="0"/>
        </w:rPr>
        <w:t xml:space="preserve">µ</w:t>
      </w:r>
      <w:r w:rsidDel="00000000" w:rsidR="00000000" w:rsidRPr="00000000">
        <w:rPr>
          <w:rFonts w:ascii="Arial" w:cs="Arial" w:eastAsia="Arial" w:hAnsi="Arial"/>
          <w:color w:val="000000"/>
          <w:sz w:val="22"/>
          <w:szCs w:val="22"/>
          <w:rtl w:val="0"/>
        </w:rPr>
        <w:t xml:space="preserve">L of supernatant were added to wells of a microplate that contained 100 uL of 1M NaOH and absorbance was measured at 450 nm. PI activity was calculated for pre- and post-herbivory as 1-((AbsSample/AbsSampControl)/(AbsPosContrlol/AbsNegControl)), standardized by tissue </w:t>
      </w:r>
      <w:r w:rsidDel="00000000" w:rsidR="00000000" w:rsidRPr="00000000">
        <w:rPr>
          <w:rFonts w:ascii="Arial" w:cs="Arial" w:eastAsia="Arial" w:hAnsi="Arial"/>
          <w:sz w:val="22"/>
          <w:szCs w:val="22"/>
          <w:rtl w:val="0"/>
        </w:rPr>
        <w:t xml:space="preserve">mass</w:t>
      </w:r>
      <w:r w:rsidDel="00000000" w:rsidR="00000000" w:rsidRPr="00000000">
        <w:rPr>
          <w:rFonts w:ascii="Arial" w:cs="Arial" w:eastAsia="Arial" w:hAnsi="Arial"/>
          <w:color w:val="000000"/>
          <w:sz w:val="22"/>
          <w:szCs w:val="22"/>
          <w:rtl w:val="0"/>
        </w:rPr>
        <w:t xml:space="preserve"> and then the values for post</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000000"/>
          <w:sz w:val="22"/>
          <w:szCs w:val="22"/>
          <w:rtl w:val="0"/>
        </w:rPr>
        <w:t xml:space="preserve">herbivory minus pre-herbivory were reported.</w:t>
      </w:r>
    </w:p>
    <w:p w:rsidR="00000000" w:rsidDel="00000000" w:rsidP="00000000" w:rsidRDefault="00000000" w:rsidRPr="00000000" w14:paraId="000000F3">
      <w:pPr>
        <w:pageBreakBefore w:val="0"/>
        <w:spacing w:line="48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F4">
      <w:pPr>
        <w:pageBreakBefore w:val="0"/>
        <w:spacing w:line="48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Appendix 2</w:t>
      </w:r>
    </w:p>
    <w:p w:rsidR="00000000" w:rsidDel="00000000" w:rsidP="00000000" w:rsidRDefault="00000000" w:rsidRPr="00000000" w14:paraId="000000F5">
      <w:pPr>
        <w:pageBreakBefore w:val="0"/>
        <w:spacing w:line="48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Medicago polymorpha genotype with country and GPS coordinates</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W0419 (France; 43.618907, 4.813317), W0420 (Spain; 43.45713, 4.353194), W0077 (Spain; 43.301433, 2.344602), W0607 (USA; 43.221144, -123.406702), W0079 (France; 43.67624, 3.352244), W0076 (USA; 40.87011, -124.11282), W0517 (USA; 40.87011, -124.11282), W0603 (USA; 40.87011, -124.11282), W0146 (USA; 40.87011, -124.11282), W0421 (Turkey; 42.643558, 11.850325)</w:t>
      </w:r>
    </w:p>
    <w:p w:rsidR="00000000" w:rsidDel="00000000" w:rsidP="00000000" w:rsidRDefault="00000000" w:rsidRPr="00000000" w14:paraId="000000F7">
      <w:pPr>
        <w:pageBreakBefore w:val="0"/>
        <w:spacing w:line="480" w:lineRule="auto"/>
        <w:rPr/>
      </w:pPr>
      <w:r w:rsidDel="00000000" w:rsidR="00000000" w:rsidRPr="00000000">
        <w:rPr>
          <w:rtl w:val="0"/>
        </w:rPr>
      </w:r>
    </w:p>
    <w:p w:rsidR="00000000" w:rsidDel="00000000" w:rsidP="00000000" w:rsidRDefault="00000000" w:rsidRPr="00000000" w14:paraId="000000F8">
      <w:pPr>
        <w:pageBreakBefore w:val="0"/>
        <w:spacing w:line="480" w:lineRule="auto"/>
        <w:rPr>
          <w:b w:val="1"/>
        </w:rPr>
      </w:pPr>
      <w:r w:rsidDel="00000000" w:rsidR="00000000" w:rsidRPr="00000000">
        <w:rPr>
          <w:b w:val="1"/>
          <w:rtl w:val="0"/>
        </w:rPr>
        <w:t xml:space="preserve">Appendix 3</w:t>
      </w:r>
    </w:p>
    <w:p w:rsidR="00000000" w:rsidDel="00000000" w:rsidP="00000000" w:rsidRDefault="00000000" w:rsidRPr="00000000" w14:paraId="000000F9">
      <w:pPr>
        <w:pageBreakBefore w:val="0"/>
        <w:spacing w:line="480" w:lineRule="auto"/>
        <w:rPr>
          <w:b w:val="1"/>
        </w:rPr>
      </w:pPr>
      <w:r w:rsidDel="00000000" w:rsidR="00000000" w:rsidRPr="00000000">
        <w:rPr>
          <w:rFonts w:ascii="Arial" w:cs="Arial" w:eastAsia="Arial" w:hAnsi="Arial"/>
          <w:color w:val="000000"/>
          <w:sz w:val="22"/>
          <w:szCs w:val="22"/>
        </w:rPr>
        <w:drawing>
          <wp:inline distB="0" distT="0" distL="0" distR="0">
            <wp:extent cx="5486400" cy="3016387"/>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486400" cy="3016387"/>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pageBreakBefore w:val="0"/>
        <w:spacing w:line="4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Results of our microplate-based protocols using tomato for A) H</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O</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 B) Protein Quantification, C) POD, D) PPO, and E) PI. The significant variation between biological replicates makes a strong argument against pooling tissue samples from different plants and highlights the benefit to using a protocol that requires a much smaller quantity of tissue.</w:t>
      </w:r>
    </w:p>
    <w:p w:rsidR="00000000" w:rsidDel="00000000" w:rsidP="00000000" w:rsidRDefault="00000000" w:rsidRPr="00000000" w14:paraId="000000FB">
      <w:pPr>
        <w:pageBreakBefore w:val="0"/>
        <w:spacing w:line="48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Appendix 4</w:t>
      </w:r>
    </w:p>
    <w:p w:rsidR="00000000" w:rsidDel="00000000" w:rsidP="00000000" w:rsidRDefault="00000000" w:rsidRPr="00000000" w14:paraId="000000FC">
      <w:pPr>
        <w:pageBreakBefore w:val="0"/>
        <w:spacing w:line="480" w:lineRule="auto"/>
        <w:rPr>
          <w:rFonts w:ascii="Arial" w:cs="Arial" w:eastAsia="Arial" w:hAnsi="Arial"/>
          <w:b w:val="1"/>
          <w:color w:val="000000"/>
          <w:sz w:val="22"/>
          <w:szCs w:val="22"/>
        </w:rPr>
      </w:pPr>
      <w:r w:rsidDel="00000000" w:rsidR="00000000" w:rsidRPr="00000000">
        <w:rPr/>
        <w:drawing>
          <wp:inline distB="0" distT="0" distL="0" distR="0">
            <wp:extent cx="5486400" cy="5302250"/>
            <wp:effectExtent b="0" l="0" r="0" t="0"/>
            <wp:docPr descr="Mac HD:Users:chanj:Desktop:Fig7MethodsFull.png" id="2" name="image1.png"/>
            <a:graphic>
              <a:graphicData uri="http://schemas.openxmlformats.org/drawingml/2006/picture">
                <pic:pic>
                  <pic:nvPicPr>
                    <pic:cNvPr descr="Mac HD:Users:chanj:Desktop:Fig7MethodsFull.png" id="0" name="image1.png"/>
                    <pic:cNvPicPr preferRelativeResize="0"/>
                  </pic:nvPicPr>
                  <pic:blipFill>
                    <a:blip r:embed="rId12"/>
                    <a:srcRect b="0" l="0" r="0" t="0"/>
                    <a:stretch>
                      <a:fillRect/>
                    </a:stretch>
                  </pic:blipFill>
                  <pic:spPr>
                    <a:xfrm>
                      <a:off x="0" y="0"/>
                      <a:ext cx="5486400" cy="530225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pageBreakBefore w:val="0"/>
        <w:spacing w:line="48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Assays tested on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Medicago polymorpha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proof of concept, we ran all of the assays on a non-model plant,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Medicago polymorpha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Protein Quantification C) POD D) PPO E) PI. Unlike tomato,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 polymorpha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not always show increase in production of defensive phytochemicals.</w:t>
      </w:r>
      <w:r w:rsidDel="00000000" w:rsidR="00000000" w:rsidRPr="00000000">
        <w:rPr>
          <w:rtl w:val="0"/>
        </w:rPr>
      </w:r>
    </w:p>
    <w:p w:rsidR="00000000" w:rsidDel="00000000" w:rsidP="00000000" w:rsidRDefault="00000000" w:rsidRPr="00000000" w14:paraId="000000FF">
      <w:pPr>
        <w:pageBreakBefore w:val="0"/>
        <w:spacing w:line="480" w:lineRule="auto"/>
        <w:rPr>
          <w:rFonts w:ascii="Arial" w:cs="Arial" w:eastAsia="Arial" w:hAnsi="Arial"/>
          <w:b w:val="1"/>
          <w:sz w:val="22"/>
          <w:szCs w:val="22"/>
        </w:rPr>
      </w:pPr>
      <w:r w:rsidDel="00000000" w:rsidR="00000000" w:rsidRPr="00000000">
        <w:rPr>
          <w:rtl w:val="0"/>
        </w:rPr>
      </w:r>
    </w:p>
    <w:sectPr>
      <w:headerReference r:id="rId13" w:type="default"/>
      <w:headerReference r:id="rId14" w:type="even"/>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MS Mincho"/>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Jack et al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[Type text][Type text][Type text]</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mailto:chandra.jack@gmail.com" TargetMode="External"/><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friesen@wsu.edu" TargetMode="Externa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mailto:chandra.jack@gmail.com" TargetMode="External"/><Relationship Id="rId7" Type="http://schemas.openxmlformats.org/officeDocument/2006/relationships/hyperlink" Target="mailto:roweshaw@gmail.com" TargetMode="External"/><Relationship Id="rId8" Type="http://schemas.openxmlformats.org/officeDocument/2006/relationships/hyperlink" Target="mailto:stephanie.porter@w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