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RPE Charge Rule Engine Microservice - Solution Proposal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Key Benefits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Decouple RPE from the legacy STS charge service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Provide low-latency charge calculation within RPE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Support GBPS-generated charge rules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Enable scalable microservice-based rule execution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Provide full rule audit and traceability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System Context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IBANK send payment requests to RPE. RPE calls the Charge microservice to calculate the applicable charge before transaction confirmation. GBPS remains the rule management and actual charge calculation system.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High Level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Components:</w:t>
        <w:br w:type="textWrapping"/>
        <w:t xml:space="preserve">- Rule Loader</w:t>
        <w:br w:type="textWrapping"/>
        <w:t xml:space="preserve">- Rule Processor</w:t>
        <w:br w:type="textWrapping"/>
        <w:t xml:space="preserve">- Rule Index Builder</w:t>
        <w:br w:type="textWrapping"/>
        <w:t xml:space="preserve">- In-Memory Rule Cache</w:t>
        <w:br w:type="textWrapping"/>
        <w:t xml:space="preserve">- Rule Selection Engine</w:t>
        <w:br w:type="textWrapping"/>
        <w:t xml:space="preserve">- Charge Calculator</w:t>
        <w:br w:type="textWrapping"/>
        <w:t xml:space="preserve">- Rule Execution Logger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896947" cy="75199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947" cy="75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Rule Data Flow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Receive rule data from GBPS (JSON or file format)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Store raw rule payload in RPE database for audit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Process rule expressions and extract conditions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Generate rule indexes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Load rules into in-memory cache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Evaluate rules during charge calculation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190014" cy="325321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014" cy="3253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62588" cy="14049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1404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5. Database Design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6. Rule Index Strategy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Example index structure:</w:t>
        <w:br w:type="textWrapping"/>
        <w:t xml:space="preserve">index["header.pmtTp"]["TT"] → [R1, R4, R8]</w:t>
        <w:br w:type="textWrapping"/>
        <w:t xml:space="preserve">index["header.pmtTp"]["LT"] → [R2, R5]</w:t>
        <w:br w:type="textWrapping"/>
        <w:t xml:space="preserve">index["header.pmtTp"]["BT"] → [R3]</w:t>
        <w:br w:type="textWrapping"/>
        <w:t xml:space="preserve">index["header.pmtTp"]["N/A"] → [R6, R7]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7. Rule Selection Algorithm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Extract candidate parameters from payload</w:t>
        <w:br w:type="textWrapping"/>
        <w:t xml:space="preserve">2. Lookup indexed rules</w:t>
        <w:br w:type="textWrapping"/>
        <w:t xml:space="preserve">3. Combine indexed rules with generic rules</w:t>
        <w:br w:type="textWrapping"/>
        <w:t xml:space="preserve">4. Evaluate rules using short-circuit logic</w:t>
        <w:br w:type="textWrapping"/>
        <w:t xml:space="preserve">5. Return first matching rule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8. Performance Strategy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Without indexing: 100 rules × 20 conditions = 2000 checks.</w:t>
        <w:br w:type="textWrapping"/>
        <w:t xml:space="preserve">With indexing and short-circuit evaluation: ~50–200 checks.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9. Rule Evaluation Logic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conditions stop evaluation on first failure.</w:t>
        <w:br w:type="textWrapping"/>
        <w:t xml:space="preserve">OR conditions stop evaluation on first success.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10. Rule Update Strategy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Initial Load: full rule load from GBPS.</w:t>
        <w:br w:type="textWrapping"/>
        <w:t xml:space="preserve">Incremental Updates: only updated rules processed.</w:t>
        <w:br w:type="textWrapping"/>
        <w:t xml:space="preserve">Cache reload performed atomically.</w:t>
        <w:br w:type="textWrapping"/>
        <w:t xml:space="preserve">Manual endpoint: POST /admin/rules/reload.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11. Microservice Design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Single Spring Boot microservice with internal components:</w:t>
        <w:br w:type="textWrapping"/>
        <w:t xml:space="preserve">API Controller</w:t>
        <w:br w:type="textWrapping"/>
        <w:t xml:space="preserve">Charge Service</w:t>
        <w:br w:type="textWrapping"/>
        <w:t xml:space="preserve">Rule Loader</w:t>
        <w:br w:type="textWrapping"/>
        <w:t xml:space="preserve">Rule Parser</w:t>
        <w:br w:type="textWrapping"/>
        <w:t xml:space="preserve">Rule Index Builder</w:t>
        <w:br w:type="textWrapping"/>
        <w:t xml:space="preserve">Rule Cache</w:t>
        <w:br w:type="textWrapping"/>
        <w:t xml:space="preserve">Rule Engine</w:t>
        <w:br w:type="textWrapping"/>
        <w:t xml:space="preserve">Charge Calculator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12. Rule Execution Logging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Table: RPE_RULE_EXECUTION_LOG</w:t>
        <w:br w:type="textWrapping"/>
        <w:t xml:space="preserve">Columns: request_id, rule_id, rule_priority, execution_time, evaluation_result, timestamp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13. Deployment Model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Stateless microservice deployed in multiple instances behind a load balancer. Each instance maintains its own in-memory rule cache.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14. Migration Strategy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Phase 1: Run STS and new service in parallel</w:t>
        <w:br w:type="textWrapping"/>
        <w:t xml:space="preserve">Phase 2: Compare outputs</w:t>
        <w:br w:type="textWrapping"/>
        <w:t xml:space="preserve">Phase 3: Switch traffic to new service</w:t>
        <w:br w:type="textWrapping"/>
        <w:t xml:space="preserve">Phase 4: Decommission STS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15. Risks and Mitigation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Rule complexity → structured rule engine</w:t>
        <w:br w:type="textWrapping"/>
        <w:t xml:space="preserve">Large rule sets → indexing and caching</w:t>
        <w:br w:type="textWrapping"/>
        <w:t xml:space="preserve">Rule updates → atomic cache reload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16. Non-Functional Requirements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Latency &lt; 10ms</w:t>
        <w:br w:type="textWrapping"/>
        <w:t xml:space="preserve">Availability 99.99%</w:t>
        <w:br w:type="textWrapping"/>
        <w:t xml:space="preserve">Throughput ~5000 TPS</w:t>
      </w:r>
    </w:p>
    <w:sectPr>
      <w:pgSz w:h="16838" w:w="11906" w:orient="portrait"/>
      <w:pgMar w:bottom="720" w:top="72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