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color w:val="000000"/>
          <w:sz w:val="46"/>
        </w:rPr>
        <w:t>SCHUR_DECOMP PROJECT BRIEF</w:t>
      </w:r>
    </w:p>
    <w:p>
      <w:pPr>
        <w:spacing w:after="320"/>
      </w:pPr>
      <w:r>
        <w:rPr>
          <w:rFonts w:ascii="Calibri" w:hAnsi="Calibri"/>
          <w:color w:val="373737"/>
          <w:sz w:val="28"/>
        </w:rPr>
        <w:t>Methods, rationale, current outputs, and advisor discussion points</w:t>
      </w:r>
    </w:p>
    <w:p>
      <w:pPr>
        <w:spacing w:after="40"/>
      </w:pPr>
      <w:r>
        <w:rPr>
          <w:rFonts w:ascii="Calibri" w:hAnsi="Calibri"/>
          <w:b/>
        </w:rPr>
        <w:t xml:space="preserve">Project: </w:t>
      </w:r>
      <w:r>
        <w:rPr>
          <w:rFonts w:ascii="Calibri" w:hAnsi="Calibri"/>
        </w:rPr>
        <w:t>schur_decomp</w:t>
      </w:r>
    </w:p>
    <w:p>
      <w:pPr>
        <w:spacing w:after="40"/>
      </w:pPr>
      <w:r>
        <w:rPr>
          <w:rFonts w:ascii="Calibri" w:hAnsi="Calibri"/>
          <w:b/>
        </w:rPr>
        <w:t xml:space="preserve">Prepared for: </w:t>
      </w:r>
      <w:r>
        <w:rPr>
          <w:rFonts w:ascii="Calibri" w:hAnsi="Calibri"/>
        </w:rPr>
        <w:t>Advisor review</w:t>
      </w:r>
    </w:p>
    <w:p>
      <w:pPr>
        <w:spacing w:after="40"/>
      </w:pPr>
      <w:r>
        <w:rPr>
          <w:rFonts w:ascii="Calibri" w:hAnsi="Calibri"/>
          <w:b/>
        </w:rPr>
        <w:t xml:space="preserve">Prepared by: </w:t>
      </w:r>
      <w:r>
        <w:rPr>
          <w:rFonts w:ascii="Calibri" w:hAnsi="Calibri"/>
        </w:rPr>
        <w:t>[Name]</w:t>
      </w:r>
    </w:p>
    <w:p>
      <w:pPr>
        <w:spacing w:after="40"/>
      </w:pPr>
      <w:r>
        <w:rPr>
          <w:rFonts w:ascii="Calibri" w:hAnsi="Calibri"/>
          <w:b/>
        </w:rPr>
        <w:t xml:space="preserve">Date: </w:t>
      </w:r>
      <w:r>
        <w:rPr>
          <w:rFonts w:ascii="Calibri" w:hAnsi="Calibri"/>
        </w:rPr>
        <w:t>August 24, 2026</w:t>
      </w:r>
    </w:p>
    <w:p>
      <w:pPr>
        <w:spacing w:after="40"/>
      </w:pPr>
      <w:r>
        <w:rPr>
          <w:rFonts w:ascii="Calibri" w:hAnsi="Calibri"/>
          <w:b/>
        </w:rPr>
        <w:t xml:space="preserve">Primary matrix: </w:t>
      </w:r>
      <w:r>
        <w:rPr>
          <w:rFonts w:ascii="Calibri" w:hAnsi="Calibri"/>
        </w:rPr>
        <w:t>matrices/mij_matrix.csv</w:t>
      </w:r>
    </w:p>
    <w:p>
      <w:pPr>
        <w:spacing w:after="40"/>
      </w:pPr>
      <w:r>
        <w:rPr>
          <w:rFonts w:ascii="Calibri" w:hAnsi="Calibri"/>
          <w:b/>
        </w:rPr>
        <w:t xml:space="preserve">Primary outputs: </w:t>
      </w:r>
      <w:r>
        <w:rPr>
          <w:rFonts w:ascii="Calibri" w:hAnsi="Calibri"/>
        </w:rPr>
        <w:t>outputs/schur_modes, outputs/schur_mode_greedy_trees, outputs/network_linear_systems, outputs/inhibitory_schur_modulation</w:t>
      </w:r>
    </w:p>
    <w:p>
      <w:pPr>
        <w:pStyle w:val="Heading1"/>
        <w:spacing w:before="320" w:after="160"/>
      </w:pPr>
      <w:r>
        <w:rPr>
          <w:rFonts w:ascii="Calibri" w:hAnsi="Calibri"/>
          <w:b/>
          <w:color w:val="2E74B5"/>
          <w:sz w:val="32"/>
        </w:rPr>
        <w:t>Executive Summary</w:t>
      </w:r>
    </w:p>
    <w:p>
      <w:pPr>
        <w:spacing w:before="0" w:after="120" w:line="264" w:lineRule="auto"/>
      </w:pPr>
      <w:r>
        <w:rPr>
          <w:rFonts w:ascii="Calibri" w:hAnsi="Calibri"/>
          <w:color w:val="141414"/>
        </w:rPr>
        <w:t>The schur_decomp project analyzes a signed, directed hippocampal-entorhinal connectivity matrix as a linear dynamical system. Its central purpose is to move from a dense source-to-receiver connectivity table to interpretable modes, propagation routes, and candidate circuit mechanisms.</w:t>
      </w:r>
    </w:p>
    <w:p>
      <w:pPr>
        <w:spacing w:before="0" w:after="120" w:line="264" w:lineRule="auto"/>
      </w:pPr>
      <w:r>
        <w:rPr>
          <w:rFonts w:ascii="Calibri" w:hAnsi="Calibri"/>
          <w:color w:val="141414"/>
        </w:rPr>
        <w:t>The project uses Schur decomposition because Schur vectors provide an orthonormal, numerically stable modal basis while the upper-triangular Schur matrix preserves directional coupling between modes. This makes it possible to study both what the dominant activity patterns are and how upstream modes drive downstream modes.</w:t>
      </w:r>
    </w:p>
    <w:p>
      <w:pPr>
        <w:pStyle w:val="ListBullet"/>
        <w:spacing w:after="160" w:line="280" w:lineRule="auto"/>
      </w:pPr>
      <w:r>
        <w:rPr>
          <w:rFonts w:ascii="Calibri" w:hAnsi="Calibri"/>
          <w:color w:val="141414"/>
        </w:rPr>
        <w:t>The primary matrix contains 85 cell classes, 1,641 nonzero directed entries, and 22.7% density.</w:t>
      </w:r>
    </w:p>
    <w:p>
      <w:pPr>
        <w:pStyle w:val="ListBullet"/>
        <w:spacing w:after="160" w:line="280" w:lineRule="auto"/>
      </w:pPr>
      <w:r>
        <w:rPr>
          <w:rFonts w:ascii="Calibri" w:hAnsi="Calibri"/>
          <w:color w:val="141414"/>
        </w:rPr>
        <w:t>The netlist labels 32 excitatory and 53 inhibitory cell classes across regions including CA1, CA3, DG, MEC, EC, CA2, LEC, and SUB.</w:t>
      </w:r>
    </w:p>
    <w:p>
      <w:pPr>
        <w:pStyle w:val="ListBullet"/>
        <w:spacing w:after="160" w:line="280" w:lineRule="auto"/>
      </w:pPr>
      <w:r>
        <w:rPr>
          <w:rFonts w:ascii="Calibri" w:hAnsi="Calibri"/>
          <w:color w:val="141414"/>
        </w:rPr>
        <w:t>Major analysis branches include Schur/eigenmode characterization, signal propagation, self-connection comparison, greedy subnetwork reconstruction, linear systems metrics, and inhibitory Schur-complement modulation.</w:t>
      </w:r>
    </w:p>
    <w:p>
      <w:pPr>
        <w:spacing w:before="80" w:after="0"/>
        <w:jc w:val="center"/>
      </w:pPr>
      <w:r>
        <w:drawing>
          <wp:inline xmlns:a="http://schemas.openxmlformats.org/drawingml/2006/main" xmlns:pic="http://schemas.openxmlformats.org/drawingml/2006/picture">
            <wp:extent cx="5806440" cy="1682548"/>
            <wp:docPr id="1" name="Picture 1"/>
            <wp:cNvGraphicFramePr>
              <a:graphicFrameLocks noChangeAspect="1"/>
            </wp:cNvGraphicFramePr>
            <a:graphic>
              <a:graphicData uri="http://schemas.openxmlformats.org/drawingml/2006/picture">
                <pic:pic>
                  <pic:nvPicPr>
                    <pic:cNvPr id="0" name="schur_decomp_workflow.png"/>
                    <pic:cNvPicPr/>
                  </pic:nvPicPr>
                  <pic:blipFill>
                    <a:blip r:embed="rId11"/>
                    <a:stretch>
                      <a:fillRect/>
                    </a:stretch>
                  </pic:blipFill>
                  <pic:spPr>
                    <a:xfrm>
                      <a:off x="0" y="0"/>
                      <a:ext cx="5806440" cy="1682548"/>
                    </a:xfrm>
                    <a:prstGeom prst="rect"/>
                  </pic:spPr>
                </pic:pic>
              </a:graphicData>
            </a:graphic>
          </wp:inline>
        </w:drawing>
      </w:r>
    </w:p>
    <w:p>
      <w:pPr>
        <w:spacing w:before="60" w:after="180"/>
        <w:jc w:val="center"/>
      </w:pPr>
      <w:r>
        <w:rPr>
          <w:rFonts w:ascii="Calibri" w:hAnsi="Calibri"/>
          <w:i/>
          <w:color w:val="585858"/>
          <w:sz w:val="19"/>
        </w:rPr>
        <w:t>Figure 1. High-level workflow used throughout the schur_decomp project.</w:t>
      </w:r>
    </w:p>
    <w:p>
      <w:pPr>
        <w:pStyle w:val="Heading1"/>
        <w:spacing w:before="320" w:after="160"/>
      </w:pPr>
      <w:r>
        <w:rPr>
          <w:rFonts w:ascii="Calibri" w:hAnsi="Calibri"/>
          <w:b/>
          <w:color w:val="2E74B5"/>
          <w:sz w:val="32"/>
        </w:rPr>
        <w:t>Project Structure</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F2F4F7"/>
            <w:tcMar>
              <w:top w:w="80" w:type="dxa"/>
              <w:start w:w="120" w:type="dxa"/>
              <w:bottom w:w="80" w:type="dxa"/>
              <w:end w:w="120" w:type="dxa"/>
            </w:tcMar>
            <w:vAlign w:val="top"/>
          </w:tcPr>
          <w:p>
            <w:pPr>
              <w:spacing w:after="0"/>
            </w:pPr>
            <w:r>
              <w:rPr>
                <w:rFonts w:ascii="Calibri" w:hAnsi="Calibri"/>
                <w:b/>
                <w:color w:val="141414"/>
              </w:rPr>
              <w:t>File or module</w:t>
            </w:r>
          </w:p>
        </w:tc>
        <w:tc>
          <w:tcPr>
            <w:tcW w:type="dxa" w:w="6860"/>
            <w:shd w:fill="F2F4F7"/>
            <w:tcMar>
              <w:top w:w="80" w:type="dxa"/>
              <w:start w:w="120" w:type="dxa"/>
              <w:bottom w:w="80" w:type="dxa"/>
              <w:end w:w="120" w:type="dxa"/>
            </w:tcMar>
            <w:vAlign w:val="top"/>
          </w:tcPr>
          <w:p>
            <w:pPr>
              <w:spacing w:after="0"/>
            </w:pPr>
            <w:r>
              <w:rPr>
                <w:rFonts w:ascii="Calibri" w:hAnsi="Calibri"/>
                <w:b/>
                <w:color w:val="141414"/>
              </w:rPr>
              <w:t>Role in the project</w:t>
            </w:r>
          </w:p>
        </w:tc>
      </w:tr>
      <w:tr>
        <w:tc>
          <w:tcPr>
            <w:tcW w:type="dxa" w:w="2500"/>
            <w:tcMar>
              <w:top w:w="80" w:type="dxa"/>
              <w:start w:w="120" w:type="dxa"/>
              <w:bottom w:w="80" w:type="dxa"/>
              <w:end w:w="120" w:type="dxa"/>
            </w:tcMar>
            <w:vAlign w:val="top"/>
          </w:tcPr>
          <w:p>
            <w:pPr>
              <w:spacing w:after="0"/>
            </w:pPr>
            <w:r>
              <w:rPr>
                <w:rFonts w:ascii="Calibri" w:hAnsi="Calibri"/>
                <w:color w:val="141414"/>
              </w:rPr>
              <w:t>schur_analysis_utils_script.py</w:t>
            </w:r>
          </w:p>
        </w:tc>
        <w:tc>
          <w:tcPr>
            <w:tcW w:type="dxa" w:w="6860"/>
            <w:tcMar>
              <w:top w:w="80" w:type="dxa"/>
              <w:start w:w="120" w:type="dxa"/>
              <w:bottom w:w="80" w:type="dxa"/>
              <w:end w:w="120" w:type="dxa"/>
            </w:tcMar>
            <w:vAlign w:val="top"/>
          </w:tcPr>
          <w:p>
            <w:pPr>
              <w:spacing w:after="0"/>
            </w:pPr>
            <w:r>
              <w:rPr>
                <w:rFonts w:ascii="Calibri" w:hAnsi="Calibri"/>
                <w:color w:val="141414"/>
              </w:rPr>
              <w:t>Core Schur/eigenmode utilities: matrix loading, normalization, Schur decomposition, mode summaries, E/I routing ratios, spectra, heatmaps, dominant-mode comparisons, and validation checks.</w:t>
            </w:r>
          </w:p>
        </w:tc>
      </w:tr>
      <w:tr>
        <w:tc>
          <w:tcPr>
            <w:tcW w:type="dxa" w:w="2500"/>
            <w:tcMar>
              <w:top w:w="80" w:type="dxa"/>
              <w:start w:w="120" w:type="dxa"/>
              <w:bottom w:w="80" w:type="dxa"/>
              <w:end w:w="120" w:type="dxa"/>
            </w:tcMar>
            <w:vAlign w:val="top"/>
          </w:tcPr>
          <w:p>
            <w:pPr>
              <w:spacing w:after="0"/>
            </w:pPr>
            <w:r>
              <w:rPr>
                <w:rFonts w:ascii="Calibri" w:hAnsi="Calibri"/>
                <w:color w:val="141414"/>
              </w:rPr>
              <w:t>schur_signal_propagation_script.py</w:t>
            </w:r>
          </w:p>
        </w:tc>
        <w:tc>
          <w:tcPr>
            <w:tcW w:type="dxa" w:w="6860"/>
            <w:tcMar>
              <w:top w:w="80" w:type="dxa"/>
              <w:start w:w="120" w:type="dxa"/>
              <w:bottom w:w="80" w:type="dxa"/>
              <w:end w:w="120" w:type="dxa"/>
            </w:tcMar>
            <w:vAlign w:val="top"/>
          </w:tcPr>
          <w:p>
            <w:pPr>
              <w:spacing w:after="0"/>
            </w:pPr>
            <w:r>
              <w:rPr>
                <w:rFonts w:ascii="Calibri" w:hAnsi="Calibri"/>
                <w:color w:val="141414"/>
              </w:rPr>
              <w:t>Prepares a Schur propagation model, creates initial activity signals, propagates cell-type and Schur-mode activations, summarizes mode and region loadings, and saves reusable Schur-mode outputs.</w:t>
            </w:r>
          </w:p>
        </w:tc>
      </w:tr>
      <w:tr>
        <w:tc>
          <w:tcPr>
            <w:tcW w:type="dxa" w:w="2500"/>
            <w:tcMar>
              <w:top w:w="80" w:type="dxa"/>
              <w:start w:w="120" w:type="dxa"/>
              <w:bottom w:w="80" w:type="dxa"/>
              <w:end w:w="120" w:type="dxa"/>
            </w:tcMar>
            <w:vAlign w:val="top"/>
          </w:tcPr>
          <w:p>
            <w:pPr>
              <w:spacing w:after="0"/>
            </w:pPr>
            <w:r>
              <w:rPr>
                <w:rFonts w:ascii="Calibri" w:hAnsi="Calibri"/>
                <w:color w:val="141414"/>
              </w:rPr>
              <w:t>schur_mode_greedy_trees_script.py</w:t>
            </w:r>
          </w:p>
        </w:tc>
        <w:tc>
          <w:tcPr>
            <w:tcW w:type="dxa" w:w="6860"/>
            <w:tcMar>
              <w:top w:w="80" w:type="dxa"/>
              <w:start w:w="120" w:type="dxa"/>
              <w:bottom w:w="80" w:type="dxa"/>
              <w:end w:w="120" w:type="dxa"/>
            </w:tcMar>
            <w:vAlign w:val="top"/>
          </w:tcPr>
          <w:p>
            <w:pPr>
              <w:spacing w:after="0"/>
            </w:pPr>
            <w:r>
              <w:rPr>
                <w:rFonts w:ascii="Calibri" w:hAnsi="Calibri"/>
                <w:color w:val="141414"/>
              </w:rPr>
              <w:t>Extracts the top cell-type contributors for each Schur mode and reconstructs compact source-to-receiver subnetworks using greedy directed trees.</w:t>
            </w:r>
          </w:p>
        </w:tc>
      </w:tr>
      <w:tr>
        <w:tc>
          <w:tcPr>
            <w:tcW w:type="dxa" w:w="2500"/>
            <w:tcMar>
              <w:top w:w="80" w:type="dxa"/>
              <w:start w:w="120" w:type="dxa"/>
              <w:bottom w:w="80" w:type="dxa"/>
              <w:end w:w="120" w:type="dxa"/>
            </w:tcMar>
            <w:vAlign w:val="top"/>
          </w:tcPr>
          <w:p>
            <w:pPr>
              <w:spacing w:after="0"/>
            </w:pPr>
            <w:r>
              <w:rPr>
                <w:rFonts w:ascii="Calibri" w:hAnsi="Calibri"/>
                <w:color w:val="141414"/>
              </w:rPr>
              <w:t>network_linear_systems_tools_script.py</w:t>
            </w:r>
          </w:p>
        </w:tc>
        <w:tc>
          <w:tcPr>
            <w:tcW w:type="dxa" w:w="6860"/>
            <w:tcMar>
              <w:top w:w="80" w:type="dxa"/>
              <w:start w:w="120" w:type="dxa"/>
              <w:bottom w:w="80" w:type="dxa"/>
              <w:end w:w="120" w:type="dxa"/>
            </w:tcMar>
            <w:vAlign w:val="top"/>
          </w:tcPr>
          <w:p>
            <w:pPr>
              <w:spacing w:after="0"/>
            </w:pPr>
            <w:r>
              <w:rPr>
                <w:rFonts w:ascii="Calibri" w:hAnsi="Calibri"/>
                <w:color w:val="141414"/>
              </w:rPr>
              <w:t>Provides path-power, controllability, Gramian, and frequency-response tools for asking how activity can move through the network as a linear system.</w:t>
            </w:r>
          </w:p>
        </w:tc>
      </w:tr>
      <w:tr>
        <w:tc>
          <w:tcPr>
            <w:tcW w:type="dxa" w:w="2500"/>
            <w:tcMar>
              <w:top w:w="80" w:type="dxa"/>
              <w:start w:w="120" w:type="dxa"/>
              <w:bottom w:w="80" w:type="dxa"/>
              <w:end w:w="120" w:type="dxa"/>
            </w:tcMar>
            <w:vAlign w:val="top"/>
          </w:tcPr>
          <w:p>
            <w:pPr>
              <w:spacing w:after="0"/>
            </w:pPr>
            <w:r>
              <w:rPr>
                <w:rFonts w:ascii="Calibri" w:hAnsi="Calibri"/>
                <w:color w:val="141414"/>
              </w:rPr>
              <w:t>inhibitory_schur_modulation_script.py</w:t>
            </w:r>
          </w:p>
        </w:tc>
        <w:tc>
          <w:tcPr>
            <w:tcW w:type="dxa" w:w="6860"/>
            <w:tcMar>
              <w:top w:w="80" w:type="dxa"/>
              <w:start w:w="120" w:type="dxa"/>
              <w:bottom w:w="80" w:type="dxa"/>
              <w:end w:w="120" w:type="dxa"/>
            </w:tcMar>
            <w:vAlign w:val="top"/>
          </w:tcPr>
          <w:p>
            <w:pPr>
              <w:spacing w:after="0"/>
            </w:pPr>
            <w:r>
              <w:rPr>
                <w:rFonts w:ascii="Calibri" w:hAnsi="Calibri"/>
                <w:color w:val="141414"/>
              </w:rPr>
              <w:t>Specialized branch for partitioning E/I blocks, Schur-eliminating inhibitory nodes, testing perturbations, motif enrichment, and disinhibitory path ranking.</w:t>
            </w:r>
          </w:p>
        </w:tc>
      </w:tr>
    </w:tbl>
    <w:p>
      <w:pPr>
        <w:spacing w:after="40"/>
      </w:pPr>
    </w:p>
    <w:p>
      <w:pPr>
        <w:pStyle w:val="Heading1"/>
        <w:spacing w:before="320" w:after="160"/>
      </w:pPr>
      <w:r>
        <w:rPr>
          <w:rFonts w:ascii="Calibri" w:hAnsi="Calibri"/>
          <w:b/>
          <w:color w:val="2E74B5"/>
          <w:sz w:val="32"/>
        </w:rPr>
        <w:t>Data and Matrix Convention</w:t>
      </w:r>
    </w:p>
    <w:p>
      <w:pPr>
        <w:spacing w:before="0" w:after="120" w:line="264" w:lineRule="auto"/>
      </w:pPr>
      <w:r>
        <w:rPr>
          <w:rFonts w:ascii="Calibri" w:hAnsi="Calibri"/>
          <w:b w:val="0"/>
          <w:i w:val="0"/>
          <w:color w:val="141414"/>
          <w:sz w:val="22"/>
        </w:rPr>
        <w:t>The raw M_ij CSV is a source-by-receiver table: rows are outgoing source cell classes and columns are receiver cell classes. Therefore, the analyses do transpose the input matrix before using it as a state-update operator. The state matrix is A = M_ij.T, so A[receiver, source] gives the effect of source j on receiver i in the column-vector update x[t + 1] = A x[t]. This is the convention used consistently in the Schur, propagation, path-power, linear-systems, and inhibitory-modulation analyses.</w:t>
      </w:r>
    </w:p>
    <w:p>
      <w:pPr>
        <w:spacing w:before="0" w:after="120" w:line="264" w:lineRule="auto"/>
      </w:pPr>
      <w:r>
        <w:rPr>
          <w:rFonts w:ascii="Calibri" w:hAnsi="Calibri"/>
          <w:b w:val="0"/>
          <w:i w:val="0"/>
          <w:color w:val="141414"/>
          <w:sz w:val="22"/>
        </w:rPr>
        <w:t>The primary Schur-mode and signal-propagation analyses use spectral-radius normalization. The raw oriented matrix is scaled by a single scalar so that the achieved spectral radius is 0.95; this keeps the discrete-time propagation stable while preserving the relative pattern of directed weights. The with-self matrix uses scale factor 3.624e-05, while the no-self matrix uses 6.403e-05 because removing diagonal/self entries lowers the raw spectral radius.</w:t>
      </w:r>
    </w:p>
    <w:p>
      <w:pPr>
        <w:spacing w:before="0" w:after="120" w:line="264" w:lineRule="auto"/>
      </w:pPr>
      <w:r>
        <w:rPr>
          <w:rFonts w:ascii="Calibri" w:hAnsi="Calibri"/>
          <w:b w:val="0"/>
          <w:i w:val="0"/>
          <w:color w:val="141414"/>
          <w:sz w:val="22"/>
        </w:rPr>
        <w:t>The matrix is strongly non-normal, meaning A A^T differs substantially from A^T A. This matters because non-normal systems can show large transient amplification and directional sensitivity even after spectral-radius scaling places the eigenvalues inside a stable radius. In the normalized project outputs, the with-self matrix has non-normality 5,869.9, and the no-self matrix has non-normality 18,319.8; removing self-connections therefore increases non-normality by about 3.1x.</w:t>
      </w:r>
    </w:p>
    <w:tbl>
      <w:tblPr>
        <w:tblStyle w:val="TableGrid"/>
        <w:tblW w:type="dxa" w:w="9360"/>
        <w:jc w:val="left"/>
        <w:tblLayout w:type="fixed"/>
        <w:tblLook w:firstColumn="1" w:firstRow="1" w:lastColumn="0" w:lastRow="0" w:noHBand="0" w:noVBand="1" w:val="04A0"/>
        <w:tblInd w:w="120" w:type="dxa"/>
      </w:tblPr>
      <w:tblGrid>
        <w:gridCol w:w="1600"/>
        <w:gridCol w:w="2500"/>
        <w:gridCol w:w="2500"/>
        <w:gridCol w:w="2760"/>
      </w:tblGrid>
      <w:tr>
        <w:tc>
          <w:tcPr>
            <w:tcW w:type="dxa" w:w="1600"/>
            <w:shd w:fill="F2F4F7"/>
            <w:tcMar>
              <w:top w:w="80" w:type="dxa"/>
              <w:start w:w="120" w:type="dxa"/>
              <w:bottom w:w="80" w:type="dxa"/>
              <w:end w:w="120" w:type="dxa"/>
            </w:tcMar>
            <w:vAlign w:val="top"/>
          </w:tcPr>
          <w:p>
            <w:pPr>
              <w:spacing w:after="0"/>
            </w:pPr>
            <w:r>
              <w:rPr>
                <w:rFonts w:ascii="Calibri" w:hAnsi="Calibri"/>
                <w:b/>
                <w:i w:val="0"/>
                <w:color w:val="141414"/>
                <w:sz w:val="22"/>
              </w:rPr>
              <w:t>Diagnostic</w:t>
            </w:r>
          </w:p>
        </w:tc>
        <w:tc>
          <w:tcPr>
            <w:tcW w:type="dxa" w:w="2500"/>
            <w:shd w:fill="F2F4F7"/>
            <w:tcMar>
              <w:top w:w="80" w:type="dxa"/>
              <w:start w:w="120" w:type="dxa"/>
              <w:bottom w:w="80" w:type="dxa"/>
              <w:end w:w="120" w:type="dxa"/>
            </w:tcMar>
            <w:vAlign w:val="top"/>
          </w:tcPr>
          <w:p>
            <w:pPr>
              <w:spacing w:after="0"/>
            </w:pPr>
            <w:r>
              <w:rPr>
                <w:rFonts w:ascii="Calibri" w:hAnsi="Calibri"/>
                <w:b/>
                <w:i w:val="0"/>
                <w:color w:val="141414"/>
                <w:sz w:val="22"/>
              </w:rPr>
              <w:t>With self</w:t>
            </w:r>
          </w:p>
        </w:tc>
        <w:tc>
          <w:tcPr>
            <w:tcW w:type="dxa" w:w="2500"/>
            <w:shd w:fill="F2F4F7"/>
            <w:tcMar>
              <w:top w:w="80" w:type="dxa"/>
              <w:start w:w="120" w:type="dxa"/>
              <w:bottom w:w="80" w:type="dxa"/>
              <w:end w:w="120" w:type="dxa"/>
            </w:tcMar>
            <w:vAlign w:val="top"/>
          </w:tcPr>
          <w:p>
            <w:pPr>
              <w:spacing w:after="0"/>
            </w:pPr>
            <w:r>
              <w:rPr>
                <w:rFonts w:ascii="Calibri" w:hAnsi="Calibri"/>
                <w:b/>
                <w:i w:val="0"/>
                <w:color w:val="141414"/>
                <w:sz w:val="22"/>
              </w:rPr>
              <w:t>No self</w:t>
            </w:r>
          </w:p>
        </w:tc>
        <w:tc>
          <w:tcPr>
            <w:tcW w:type="dxa" w:w="2760"/>
            <w:shd w:fill="F2F4F7"/>
            <w:tcMar>
              <w:top w:w="80" w:type="dxa"/>
              <w:start w:w="120" w:type="dxa"/>
              <w:bottom w:w="80" w:type="dxa"/>
              <w:end w:w="120" w:type="dxa"/>
            </w:tcMar>
            <w:vAlign w:val="top"/>
          </w:tcPr>
          <w:p>
            <w:pPr>
              <w:spacing w:after="0"/>
            </w:pPr>
            <w:r>
              <w:rPr>
                <w:rFonts w:ascii="Calibri" w:hAnsi="Calibri"/>
                <w:b/>
                <w:i w:val="0"/>
                <w:color w:val="141414"/>
                <w:sz w:val="22"/>
              </w:rPr>
              <w:t>Interpretation</w:t>
            </w:r>
          </w:p>
        </w:tc>
      </w:tr>
      <w:tr>
        <w:tc>
          <w:tcPr>
            <w:tcW w:type="dxa" w:w="1600"/>
            <w:tcMar>
              <w:top w:w="80" w:type="dxa"/>
              <w:start w:w="120" w:type="dxa"/>
              <w:bottom w:w="80" w:type="dxa"/>
              <w:end w:w="120" w:type="dxa"/>
            </w:tcMar>
            <w:vAlign w:val="top"/>
          </w:tcPr>
          <w:p>
            <w:pPr>
              <w:spacing w:after="0"/>
            </w:pPr>
            <w:r>
              <w:rPr>
                <w:rFonts w:ascii="Calibri" w:hAnsi="Calibri"/>
                <w:b w:val="0"/>
                <w:i w:val="0"/>
                <w:color w:val="141414"/>
                <w:sz w:val="22"/>
              </w:rPr>
              <w:t>Input orientation</w:t>
            </w:r>
          </w:p>
        </w:tc>
        <w:tc>
          <w:tcPr>
            <w:tcW w:type="dxa" w:w="2500"/>
            <w:tcMar>
              <w:top w:w="80" w:type="dxa"/>
              <w:start w:w="120" w:type="dxa"/>
              <w:bottom w:w="80" w:type="dxa"/>
              <w:end w:w="120" w:type="dxa"/>
            </w:tcMar>
            <w:vAlign w:val="top"/>
          </w:tcPr>
          <w:p>
            <w:pPr>
              <w:spacing w:after="0"/>
            </w:pPr>
            <w:r>
              <w:rPr>
                <w:rFonts w:ascii="Calibri" w:hAnsi="Calibri"/>
                <w:b w:val="0"/>
                <w:i w:val="0"/>
                <w:color w:val="141414"/>
                <w:sz w:val="22"/>
              </w:rPr>
              <w:t>Raw rows = sources; raw columns = receivers; transposed to A[receiver, source]</w:t>
            </w:r>
          </w:p>
        </w:tc>
        <w:tc>
          <w:tcPr>
            <w:tcW w:type="dxa" w:w="2500"/>
            <w:tcMar>
              <w:top w:w="80" w:type="dxa"/>
              <w:start w:w="120" w:type="dxa"/>
              <w:bottom w:w="80" w:type="dxa"/>
              <w:end w:w="120" w:type="dxa"/>
            </w:tcMar>
            <w:vAlign w:val="top"/>
          </w:tcPr>
          <w:p>
            <w:pPr>
              <w:spacing w:after="0"/>
            </w:pPr>
            <w:r>
              <w:rPr>
                <w:rFonts w:ascii="Calibri" w:hAnsi="Calibri"/>
                <w:b w:val="0"/>
                <w:i w:val="0"/>
                <w:color w:val="141414"/>
                <w:sz w:val="22"/>
              </w:rPr>
              <w:t>Same orientation, with diagonal set to zero before scaling</w:t>
            </w:r>
          </w:p>
        </w:tc>
        <w:tc>
          <w:tcPr>
            <w:tcW w:type="dxa" w:w="2760"/>
            <w:tcMar>
              <w:top w:w="80" w:type="dxa"/>
              <w:start w:w="120" w:type="dxa"/>
              <w:bottom w:w="80" w:type="dxa"/>
              <w:end w:w="120" w:type="dxa"/>
            </w:tcMar>
            <w:vAlign w:val="top"/>
          </w:tcPr>
          <w:p>
            <w:pPr>
              <w:spacing w:after="0"/>
            </w:pPr>
            <w:r>
              <w:rPr>
                <w:rFonts w:ascii="Calibri" w:hAnsi="Calibri"/>
                <w:b w:val="0"/>
                <w:i w:val="0"/>
                <w:color w:val="141414"/>
                <w:sz w:val="22"/>
              </w:rPr>
              <w:t>The input needed to be transposed for the state-update analyses.</w:t>
            </w:r>
          </w:p>
        </w:tc>
      </w:tr>
      <w:tr>
        <w:tc>
          <w:tcPr>
            <w:tcW w:type="dxa" w:w="1600"/>
            <w:tcMar>
              <w:top w:w="80" w:type="dxa"/>
              <w:start w:w="120" w:type="dxa"/>
              <w:bottom w:w="80" w:type="dxa"/>
              <w:end w:w="120" w:type="dxa"/>
            </w:tcMar>
            <w:vAlign w:val="top"/>
          </w:tcPr>
          <w:p>
            <w:pPr>
              <w:spacing w:after="0"/>
            </w:pPr>
            <w:r>
              <w:rPr>
                <w:rFonts w:ascii="Calibri" w:hAnsi="Calibri"/>
                <w:b w:val="0"/>
                <w:i w:val="0"/>
                <w:color w:val="141414"/>
                <w:sz w:val="22"/>
              </w:rPr>
              <w:t>Raw spectral radius</w:t>
            </w:r>
          </w:p>
        </w:tc>
        <w:tc>
          <w:tcPr>
            <w:tcW w:type="dxa" w:w="2500"/>
            <w:tcMar>
              <w:top w:w="80" w:type="dxa"/>
              <w:start w:w="120" w:type="dxa"/>
              <w:bottom w:w="80" w:type="dxa"/>
              <w:end w:w="120" w:type="dxa"/>
            </w:tcMar>
            <w:vAlign w:val="top"/>
          </w:tcPr>
          <w:p>
            <w:pPr>
              <w:spacing w:after="0"/>
            </w:pPr>
            <w:r>
              <w:rPr>
                <w:rFonts w:ascii="Calibri" w:hAnsi="Calibri"/>
                <w:b w:val="0"/>
                <w:i w:val="0"/>
                <w:color w:val="141414"/>
                <w:sz w:val="22"/>
              </w:rPr>
              <w:t>26,213.13</w:t>
            </w:r>
          </w:p>
        </w:tc>
        <w:tc>
          <w:tcPr>
            <w:tcW w:type="dxa" w:w="2500"/>
            <w:tcMar>
              <w:top w:w="80" w:type="dxa"/>
              <w:start w:w="120" w:type="dxa"/>
              <w:bottom w:w="80" w:type="dxa"/>
              <w:end w:w="120" w:type="dxa"/>
            </w:tcMar>
            <w:vAlign w:val="top"/>
          </w:tcPr>
          <w:p>
            <w:pPr>
              <w:spacing w:after="0"/>
            </w:pPr>
            <w:r>
              <w:rPr>
                <w:rFonts w:ascii="Calibri" w:hAnsi="Calibri"/>
                <w:b w:val="0"/>
                <w:i w:val="0"/>
                <w:color w:val="141414"/>
                <w:sz w:val="22"/>
              </w:rPr>
              <w:t>14,837.87</w:t>
            </w:r>
          </w:p>
        </w:tc>
        <w:tc>
          <w:tcPr>
            <w:tcW w:type="dxa" w:w="2760"/>
            <w:tcMar>
              <w:top w:w="80" w:type="dxa"/>
              <w:start w:w="120" w:type="dxa"/>
              <w:bottom w:w="80" w:type="dxa"/>
              <w:end w:w="120" w:type="dxa"/>
            </w:tcMar>
            <w:vAlign w:val="top"/>
          </w:tcPr>
          <w:p>
            <w:pPr>
              <w:spacing w:after="0"/>
            </w:pPr>
            <w:r>
              <w:rPr>
                <w:rFonts w:ascii="Calibri" w:hAnsi="Calibri"/>
                <w:b w:val="0"/>
                <w:i w:val="0"/>
                <w:color w:val="141414"/>
                <w:sz w:val="22"/>
              </w:rPr>
              <w:t>The unscaled matrix is far outside the stable discrete-time range.</w:t>
            </w:r>
          </w:p>
        </w:tc>
      </w:tr>
      <w:tr>
        <w:tc>
          <w:tcPr>
            <w:tcW w:type="dxa" w:w="1600"/>
            <w:tcMar>
              <w:top w:w="80" w:type="dxa"/>
              <w:start w:w="120" w:type="dxa"/>
              <w:bottom w:w="80" w:type="dxa"/>
              <w:end w:w="120" w:type="dxa"/>
            </w:tcMar>
            <w:vAlign w:val="top"/>
          </w:tcPr>
          <w:p>
            <w:pPr>
              <w:spacing w:after="0"/>
            </w:pPr>
            <w:r>
              <w:rPr>
                <w:rFonts w:ascii="Calibri" w:hAnsi="Calibri"/>
                <w:b w:val="0"/>
                <w:i w:val="0"/>
                <w:color w:val="141414"/>
                <w:sz w:val="22"/>
              </w:rPr>
              <w:t>Scaling strategy</w:t>
            </w:r>
          </w:p>
        </w:tc>
        <w:tc>
          <w:tcPr>
            <w:tcW w:type="dxa" w:w="2500"/>
            <w:tcMar>
              <w:top w:w="80" w:type="dxa"/>
              <w:start w:w="120" w:type="dxa"/>
              <w:bottom w:w="80" w:type="dxa"/>
              <w:end w:w="120" w:type="dxa"/>
            </w:tcMar>
            <w:vAlign w:val="top"/>
          </w:tcPr>
          <w:p>
            <w:pPr>
              <w:spacing w:after="0"/>
            </w:pPr>
            <w:r>
              <w:rPr>
                <w:rFonts w:ascii="Calibri" w:hAnsi="Calibri"/>
                <w:b w:val="0"/>
                <w:i w:val="0"/>
                <w:color w:val="141414"/>
                <w:sz w:val="22"/>
              </w:rPr>
              <w:t>Spectral-radius scaling to 0.95 using scale factor 3.624e-05</w:t>
            </w:r>
          </w:p>
        </w:tc>
        <w:tc>
          <w:tcPr>
            <w:tcW w:type="dxa" w:w="2500"/>
            <w:tcMar>
              <w:top w:w="80" w:type="dxa"/>
              <w:start w:w="120" w:type="dxa"/>
              <w:bottom w:w="80" w:type="dxa"/>
              <w:end w:w="120" w:type="dxa"/>
            </w:tcMar>
            <w:vAlign w:val="top"/>
          </w:tcPr>
          <w:p>
            <w:pPr>
              <w:spacing w:after="0"/>
            </w:pPr>
            <w:r>
              <w:rPr>
                <w:rFonts w:ascii="Calibri" w:hAnsi="Calibri"/>
                <w:b w:val="0"/>
                <w:i w:val="0"/>
                <w:color w:val="141414"/>
                <w:sz w:val="22"/>
              </w:rPr>
              <w:t>Spectral-radius scaling to 0.95 using scale factor 6.403e-05</w:t>
            </w:r>
          </w:p>
        </w:tc>
        <w:tc>
          <w:tcPr>
            <w:tcW w:type="dxa" w:w="2760"/>
            <w:tcMar>
              <w:top w:w="80" w:type="dxa"/>
              <w:start w:w="120" w:type="dxa"/>
              <w:bottom w:w="80" w:type="dxa"/>
              <w:end w:w="120" w:type="dxa"/>
            </w:tcMar>
            <w:vAlign w:val="top"/>
          </w:tcPr>
          <w:p>
            <w:pPr>
              <w:spacing w:after="0"/>
            </w:pPr>
            <w:r>
              <w:rPr>
                <w:rFonts w:ascii="Calibri" w:hAnsi="Calibri"/>
                <w:b w:val="0"/>
                <w:i w:val="0"/>
                <w:color w:val="141414"/>
                <w:sz w:val="22"/>
              </w:rPr>
              <w:t>Scaling keeps eigenvalue magnitude comparable across variants.</w:t>
            </w:r>
          </w:p>
        </w:tc>
      </w:tr>
      <w:tr>
        <w:tc>
          <w:tcPr>
            <w:tcW w:type="dxa" w:w="1600"/>
            <w:tcMar>
              <w:top w:w="80" w:type="dxa"/>
              <w:start w:w="120" w:type="dxa"/>
              <w:bottom w:w="80" w:type="dxa"/>
              <w:end w:w="120" w:type="dxa"/>
            </w:tcMar>
            <w:vAlign w:val="top"/>
          </w:tcPr>
          <w:p>
            <w:pPr>
              <w:spacing w:after="0"/>
            </w:pPr>
            <w:r>
              <w:rPr>
                <w:rFonts w:ascii="Calibri" w:hAnsi="Calibri"/>
                <w:b w:val="0"/>
                <w:i w:val="0"/>
                <w:color w:val="141414"/>
                <w:sz w:val="22"/>
              </w:rPr>
              <w:t>Normalized non-normality</w:t>
            </w:r>
          </w:p>
        </w:tc>
        <w:tc>
          <w:tcPr>
            <w:tcW w:type="dxa" w:w="2500"/>
            <w:tcMar>
              <w:top w:w="80" w:type="dxa"/>
              <w:start w:w="120" w:type="dxa"/>
              <w:bottom w:w="80" w:type="dxa"/>
              <w:end w:w="120" w:type="dxa"/>
            </w:tcMar>
            <w:vAlign w:val="top"/>
          </w:tcPr>
          <w:p>
            <w:pPr>
              <w:spacing w:after="0"/>
            </w:pPr>
            <w:r>
              <w:rPr>
                <w:rFonts w:ascii="Calibri" w:hAnsi="Calibri"/>
                <w:b w:val="0"/>
                <w:i w:val="0"/>
                <w:color w:val="141414"/>
                <w:sz w:val="22"/>
              </w:rPr>
              <w:t>5,869.9</w:t>
            </w:r>
          </w:p>
        </w:tc>
        <w:tc>
          <w:tcPr>
            <w:tcW w:type="dxa" w:w="2500"/>
            <w:tcMar>
              <w:top w:w="80" w:type="dxa"/>
              <w:start w:w="120" w:type="dxa"/>
              <w:bottom w:w="80" w:type="dxa"/>
              <w:end w:w="120" w:type="dxa"/>
            </w:tcMar>
            <w:vAlign w:val="top"/>
          </w:tcPr>
          <w:p>
            <w:pPr>
              <w:spacing w:after="0"/>
            </w:pPr>
            <w:r>
              <w:rPr>
                <w:rFonts w:ascii="Calibri" w:hAnsi="Calibri"/>
                <w:b w:val="0"/>
                <w:i w:val="0"/>
                <w:color w:val="141414"/>
                <w:sz w:val="22"/>
              </w:rPr>
              <w:t>18,319.8</w:t>
            </w:r>
          </w:p>
        </w:tc>
        <w:tc>
          <w:tcPr>
            <w:tcW w:type="dxa" w:w="2760"/>
            <w:tcMar>
              <w:top w:w="80" w:type="dxa"/>
              <w:start w:w="120" w:type="dxa"/>
              <w:bottom w:w="80" w:type="dxa"/>
              <w:end w:w="120" w:type="dxa"/>
            </w:tcMar>
            <w:vAlign w:val="top"/>
          </w:tcPr>
          <w:p>
            <w:pPr>
              <w:spacing w:after="0"/>
            </w:pPr>
            <w:r>
              <w:rPr>
                <w:rFonts w:ascii="Calibri" w:hAnsi="Calibri"/>
                <w:b w:val="0"/>
                <w:i w:val="0"/>
                <w:color w:val="141414"/>
                <w:sz w:val="22"/>
              </w:rPr>
              <w:t>The no-self variant is about 3.1x more non-normal after scaling.</w:t>
            </w:r>
          </w:p>
        </w:tc>
      </w:tr>
      <w:tr>
        <w:tc>
          <w:tcPr>
            <w:tcW w:type="dxa" w:w="1600"/>
            <w:tcMar>
              <w:top w:w="80" w:type="dxa"/>
              <w:start w:w="120" w:type="dxa"/>
              <w:bottom w:w="80" w:type="dxa"/>
              <w:end w:w="120" w:type="dxa"/>
            </w:tcMar>
            <w:vAlign w:val="top"/>
          </w:tcPr>
          <w:p>
            <w:pPr>
              <w:spacing w:after="0"/>
            </w:pPr>
            <w:r>
              <w:rPr>
                <w:rFonts w:ascii="Calibri" w:hAnsi="Calibri"/>
                <w:b w:val="0"/>
                <w:i w:val="0"/>
                <w:color w:val="141414"/>
                <w:sz w:val="22"/>
              </w:rPr>
              <w:t>Raw non-normality</w:t>
            </w:r>
          </w:p>
        </w:tc>
        <w:tc>
          <w:tcPr>
            <w:tcW w:type="dxa" w:w="2500"/>
            <w:tcMar>
              <w:top w:w="80" w:type="dxa"/>
              <w:start w:w="120" w:type="dxa"/>
              <w:bottom w:w="80" w:type="dxa"/>
              <w:end w:w="120" w:type="dxa"/>
            </w:tcMar>
            <w:vAlign w:val="top"/>
          </w:tcPr>
          <w:p>
            <w:pPr>
              <w:spacing w:after="0"/>
            </w:pPr>
            <w:r>
              <w:rPr>
                <w:rFonts w:ascii="Calibri" w:hAnsi="Calibri"/>
                <w:b w:val="0"/>
                <w:i w:val="0"/>
                <w:color w:val="141414"/>
                <w:sz w:val="22"/>
              </w:rPr>
              <w:t>4.469e12</w:t>
            </w:r>
          </w:p>
        </w:tc>
        <w:tc>
          <w:tcPr>
            <w:tcW w:type="dxa" w:w="2500"/>
            <w:tcMar>
              <w:top w:w="80" w:type="dxa"/>
              <w:start w:w="120" w:type="dxa"/>
              <w:bottom w:w="80" w:type="dxa"/>
              <w:end w:w="120" w:type="dxa"/>
            </w:tcMar>
            <w:vAlign w:val="top"/>
          </w:tcPr>
          <w:p>
            <w:pPr>
              <w:spacing w:after="0"/>
            </w:pPr>
            <w:r>
              <w:rPr>
                <w:rFonts w:ascii="Calibri" w:hAnsi="Calibri"/>
                <w:b w:val="0"/>
                <w:i w:val="0"/>
                <w:color w:val="141414"/>
                <w:sz w:val="22"/>
              </w:rPr>
              <w:t>4.469e12</w:t>
            </w:r>
          </w:p>
        </w:tc>
        <w:tc>
          <w:tcPr>
            <w:tcW w:type="dxa" w:w="2760"/>
            <w:tcMar>
              <w:top w:w="80" w:type="dxa"/>
              <w:start w:w="120" w:type="dxa"/>
              <w:bottom w:w="80" w:type="dxa"/>
              <w:end w:w="120" w:type="dxa"/>
            </w:tcMar>
            <w:vAlign w:val="top"/>
          </w:tcPr>
          <w:p>
            <w:pPr>
              <w:spacing w:after="0"/>
            </w:pPr>
            <w:r>
              <w:rPr>
                <w:rFonts w:ascii="Calibri" w:hAnsi="Calibri"/>
                <w:b w:val="0"/>
                <w:i w:val="0"/>
                <w:color w:val="141414"/>
                <w:sz w:val="22"/>
              </w:rPr>
              <w:t>The original weighted matrix is highly non-normal before normalization.</w:t>
            </w:r>
          </w:p>
        </w:tc>
      </w:tr>
    </w:tbl>
    <w:p>
      <w:pPr>
        <w:spacing w:after="80"/>
      </w:pP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shd w:fill="F2F4F7"/>
            <w:tcMar>
              <w:top w:w="80" w:type="dxa"/>
              <w:start w:w="120" w:type="dxa"/>
              <w:bottom w:w="80" w:type="dxa"/>
              <w:end w:w="120" w:type="dxa"/>
            </w:tcMar>
            <w:vAlign w:val="top"/>
          </w:tcPr>
          <w:p>
            <w:pPr>
              <w:spacing w:after="0"/>
            </w:pPr>
            <w:r>
              <w:rPr>
                <w:rFonts w:ascii="Calibri" w:hAnsi="Calibri"/>
                <w:b/>
                <w:color w:val="141414"/>
              </w:rPr>
              <w:t>Dataset fact</w:t>
            </w:r>
          </w:p>
        </w:tc>
        <w:tc>
          <w:tcPr>
            <w:tcW w:type="dxa" w:w="6760"/>
            <w:shd w:fill="F2F4F7"/>
            <w:tcMar>
              <w:top w:w="80" w:type="dxa"/>
              <w:start w:w="120" w:type="dxa"/>
              <w:bottom w:w="80" w:type="dxa"/>
              <w:end w:w="120" w:type="dxa"/>
            </w:tcMar>
            <w:vAlign w:val="top"/>
          </w:tcPr>
          <w:p>
            <w:pPr>
              <w:spacing w:after="0"/>
            </w:pPr>
            <w:r>
              <w:rPr>
                <w:rFonts w:ascii="Calibri" w:hAnsi="Calibri"/>
                <w:b/>
                <w:color w:val="141414"/>
              </w:rPr>
              <w:t>Value</w:t>
            </w:r>
          </w:p>
        </w:tc>
      </w:tr>
      <w:tr>
        <w:tc>
          <w:tcPr>
            <w:tcW w:type="dxa" w:w="2600"/>
            <w:tcMar>
              <w:top w:w="80" w:type="dxa"/>
              <w:start w:w="120" w:type="dxa"/>
              <w:bottom w:w="80" w:type="dxa"/>
              <w:end w:w="120" w:type="dxa"/>
            </w:tcMar>
            <w:vAlign w:val="top"/>
          </w:tcPr>
          <w:p>
            <w:pPr>
              <w:spacing w:after="0"/>
            </w:pPr>
            <w:r>
              <w:rPr>
                <w:rFonts w:ascii="Calibri" w:hAnsi="Calibri"/>
                <w:color w:val="141414"/>
              </w:rPr>
              <w:t>Cell classes</w:t>
            </w:r>
          </w:p>
        </w:tc>
        <w:tc>
          <w:tcPr>
            <w:tcW w:type="dxa" w:w="6760"/>
            <w:tcMar>
              <w:top w:w="80" w:type="dxa"/>
              <w:start w:w="120" w:type="dxa"/>
              <w:bottom w:w="80" w:type="dxa"/>
              <w:end w:w="120" w:type="dxa"/>
            </w:tcMar>
            <w:vAlign w:val="top"/>
          </w:tcPr>
          <w:p>
            <w:pPr>
              <w:spacing w:after="0"/>
            </w:pPr>
            <w:r>
              <w:rPr>
                <w:rFonts w:ascii="Calibri" w:hAnsi="Calibri"/>
                <w:color w:val="141414"/>
              </w:rPr>
              <w:t>85</w:t>
            </w:r>
          </w:p>
        </w:tc>
      </w:tr>
      <w:tr>
        <w:tc>
          <w:tcPr>
            <w:tcW w:type="dxa" w:w="2600"/>
            <w:tcMar>
              <w:top w:w="80" w:type="dxa"/>
              <w:start w:w="120" w:type="dxa"/>
              <w:bottom w:w="80" w:type="dxa"/>
              <w:end w:w="120" w:type="dxa"/>
            </w:tcMar>
            <w:vAlign w:val="top"/>
          </w:tcPr>
          <w:p>
            <w:pPr>
              <w:spacing w:after="0"/>
            </w:pPr>
            <w:r>
              <w:rPr>
                <w:rFonts w:ascii="Calibri" w:hAnsi="Calibri"/>
                <w:color w:val="141414"/>
              </w:rPr>
              <w:t>Nonzero directed weights</w:t>
            </w:r>
          </w:p>
        </w:tc>
        <w:tc>
          <w:tcPr>
            <w:tcW w:type="dxa" w:w="6760"/>
            <w:tcMar>
              <w:top w:w="80" w:type="dxa"/>
              <w:start w:w="120" w:type="dxa"/>
              <w:bottom w:w="80" w:type="dxa"/>
              <w:end w:w="120" w:type="dxa"/>
            </w:tcMar>
            <w:vAlign w:val="top"/>
          </w:tcPr>
          <w:p>
            <w:pPr>
              <w:spacing w:after="0"/>
            </w:pPr>
            <w:r>
              <w:rPr>
                <w:rFonts w:ascii="Calibri" w:hAnsi="Calibri"/>
                <w:color w:val="141414"/>
              </w:rPr>
              <w:t>1,641</w:t>
            </w:r>
          </w:p>
        </w:tc>
      </w:tr>
      <w:tr>
        <w:tc>
          <w:tcPr>
            <w:tcW w:type="dxa" w:w="2600"/>
            <w:tcMar>
              <w:top w:w="80" w:type="dxa"/>
              <w:start w:w="120" w:type="dxa"/>
              <w:bottom w:w="80" w:type="dxa"/>
              <w:end w:w="120" w:type="dxa"/>
            </w:tcMar>
            <w:vAlign w:val="top"/>
          </w:tcPr>
          <w:p>
            <w:pPr>
              <w:spacing w:after="0"/>
            </w:pPr>
            <w:r>
              <w:rPr>
                <w:rFonts w:ascii="Calibri" w:hAnsi="Calibri"/>
                <w:color w:val="141414"/>
              </w:rPr>
              <w:t>Matrix density</w:t>
            </w:r>
          </w:p>
        </w:tc>
        <w:tc>
          <w:tcPr>
            <w:tcW w:type="dxa" w:w="6760"/>
            <w:tcMar>
              <w:top w:w="80" w:type="dxa"/>
              <w:start w:w="120" w:type="dxa"/>
              <w:bottom w:w="80" w:type="dxa"/>
              <w:end w:w="120" w:type="dxa"/>
            </w:tcMar>
            <w:vAlign w:val="top"/>
          </w:tcPr>
          <w:p>
            <w:pPr>
              <w:spacing w:after="0"/>
            </w:pPr>
            <w:r>
              <w:rPr>
                <w:rFonts w:ascii="Calibri" w:hAnsi="Calibri"/>
                <w:color w:val="141414"/>
              </w:rPr>
              <w:t>22.7%</w:t>
            </w:r>
          </w:p>
        </w:tc>
      </w:tr>
      <w:tr>
        <w:tc>
          <w:tcPr>
            <w:tcW w:type="dxa" w:w="2600"/>
            <w:tcMar>
              <w:top w:w="80" w:type="dxa"/>
              <w:start w:w="120" w:type="dxa"/>
              <w:bottom w:w="80" w:type="dxa"/>
              <w:end w:w="120" w:type="dxa"/>
            </w:tcMar>
            <w:vAlign w:val="top"/>
          </w:tcPr>
          <w:p>
            <w:pPr>
              <w:spacing w:after="0"/>
            </w:pPr>
            <w:r>
              <w:rPr>
                <w:rFonts w:ascii="Calibri" w:hAnsi="Calibri"/>
                <w:color w:val="141414"/>
              </w:rPr>
              <w:t>Excitatory classes</w:t>
            </w:r>
          </w:p>
        </w:tc>
        <w:tc>
          <w:tcPr>
            <w:tcW w:type="dxa" w:w="6760"/>
            <w:tcMar>
              <w:top w:w="80" w:type="dxa"/>
              <w:start w:w="120" w:type="dxa"/>
              <w:bottom w:w="80" w:type="dxa"/>
              <w:end w:w="120" w:type="dxa"/>
            </w:tcMar>
            <w:vAlign w:val="top"/>
          </w:tcPr>
          <w:p>
            <w:pPr>
              <w:spacing w:after="0"/>
            </w:pPr>
            <w:r>
              <w:rPr>
                <w:rFonts w:ascii="Calibri" w:hAnsi="Calibri"/>
                <w:color w:val="141414"/>
              </w:rPr>
              <w:t>32</w:t>
            </w:r>
          </w:p>
        </w:tc>
      </w:tr>
      <w:tr>
        <w:tc>
          <w:tcPr>
            <w:tcW w:type="dxa" w:w="2600"/>
            <w:tcMar>
              <w:top w:w="80" w:type="dxa"/>
              <w:start w:w="120" w:type="dxa"/>
              <w:bottom w:w="80" w:type="dxa"/>
              <w:end w:w="120" w:type="dxa"/>
            </w:tcMar>
            <w:vAlign w:val="top"/>
          </w:tcPr>
          <w:p>
            <w:pPr>
              <w:spacing w:after="0"/>
            </w:pPr>
            <w:r>
              <w:rPr>
                <w:rFonts w:ascii="Calibri" w:hAnsi="Calibri"/>
                <w:color w:val="141414"/>
              </w:rPr>
              <w:t>Inhibitory classes</w:t>
            </w:r>
          </w:p>
        </w:tc>
        <w:tc>
          <w:tcPr>
            <w:tcW w:type="dxa" w:w="6760"/>
            <w:tcMar>
              <w:top w:w="80" w:type="dxa"/>
              <w:start w:w="120" w:type="dxa"/>
              <w:bottom w:w="80" w:type="dxa"/>
              <w:end w:w="120" w:type="dxa"/>
            </w:tcMar>
            <w:vAlign w:val="top"/>
          </w:tcPr>
          <w:p>
            <w:pPr>
              <w:spacing w:after="0"/>
            </w:pPr>
            <w:r>
              <w:rPr>
                <w:rFonts w:ascii="Calibri" w:hAnsi="Calibri"/>
                <w:color w:val="141414"/>
              </w:rPr>
              <w:t>53</w:t>
            </w:r>
          </w:p>
        </w:tc>
      </w:tr>
      <w:tr>
        <w:tc>
          <w:tcPr>
            <w:tcW w:type="dxa" w:w="2600"/>
            <w:tcMar>
              <w:top w:w="80" w:type="dxa"/>
              <w:start w:w="120" w:type="dxa"/>
              <w:bottom w:w="80" w:type="dxa"/>
              <w:end w:w="120" w:type="dxa"/>
            </w:tcMar>
            <w:vAlign w:val="top"/>
          </w:tcPr>
          <w:p>
            <w:pPr>
              <w:spacing w:after="0"/>
            </w:pPr>
            <w:r>
              <w:rPr>
                <w:rFonts w:ascii="Calibri" w:hAnsi="Calibri"/>
                <w:color w:val="141414"/>
              </w:rPr>
              <w:t>Largest region counts</w:t>
            </w:r>
          </w:p>
        </w:tc>
        <w:tc>
          <w:tcPr>
            <w:tcW w:type="dxa" w:w="6760"/>
            <w:tcMar>
              <w:top w:w="80" w:type="dxa"/>
              <w:start w:w="120" w:type="dxa"/>
              <w:bottom w:w="80" w:type="dxa"/>
              <w:end w:w="120" w:type="dxa"/>
            </w:tcMar>
            <w:vAlign w:val="top"/>
          </w:tcPr>
          <w:p>
            <w:pPr>
              <w:spacing w:after="0"/>
            </w:pPr>
            <w:r>
              <w:rPr>
                <w:rFonts w:ascii="Calibri" w:hAnsi="Calibri"/>
                <w:color w:val="141414"/>
              </w:rPr>
              <w:t>CA1: 28, CA3: 14, DG: 14, MEC: 11, EC: 9</w:t>
            </w:r>
          </w:p>
        </w:tc>
      </w:tr>
    </w:tbl>
    <w:p>
      <w:pPr>
        <w:spacing w:after="40"/>
      </w:pPr>
    </w:p>
    <w:p>
      <w:pPr>
        <w:spacing w:before="80" w:after="0"/>
        <w:jc w:val="center"/>
      </w:pPr>
      <w:r>
        <w:drawing>
          <wp:inline xmlns:a="http://schemas.openxmlformats.org/drawingml/2006/main" xmlns:pic="http://schemas.openxmlformats.org/drawingml/2006/picture">
            <wp:extent cx="5806440" cy="2213705"/>
            <wp:docPr id="2" name="Picture 2"/>
            <wp:cNvGraphicFramePr>
              <a:graphicFrameLocks noChangeAspect="1"/>
            </wp:cNvGraphicFramePr>
            <a:graphic>
              <a:graphicData uri="http://schemas.openxmlformats.org/drawingml/2006/picture">
                <pic:pic>
                  <pic:nvPicPr>
                    <pic:cNvPr id="0" name="schur_decomp_matrix_composition.png"/>
                    <pic:cNvPicPr/>
                  </pic:nvPicPr>
                  <pic:blipFill>
                    <a:blip r:embed="rId12"/>
                    <a:stretch>
                      <a:fillRect/>
                    </a:stretch>
                  </pic:blipFill>
                  <pic:spPr>
                    <a:xfrm>
                      <a:off x="0" y="0"/>
                      <a:ext cx="5806440" cy="2213705"/>
                    </a:xfrm>
                    <a:prstGeom prst="rect"/>
                  </pic:spPr>
                </pic:pic>
              </a:graphicData>
            </a:graphic>
          </wp:inline>
        </w:drawing>
      </w:r>
    </w:p>
    <w:p>
      <w:pPr>
        <w:spacing w:before="60" w:after="180"/>
        <w:jc w:val="center"/>
      </w:pPr>
      <w:r>
        <w:rPr>
          <w:rFonts w:ascii="Calibri" w:hAnsi="Calibri"/>
          <w:i/>
          <w:color w:val="585858"/>
          <w:sz w:val="19"/>
        </w:rPr>
        <w:t>Figure 2. Composition of the primary connectivity matrix by region and E/I label.</w:t>
      </w:r>
    </w:p>
    <w:p>
      <w:pPr>
        <w:pStyle w:val="Heading1"/>
        <w:spacing w:before="320" w:after="160"/>
      </w:pPr>
      <w:r>
        <w:rPr>
          <w:rFonts w:ascii="Calibri" w:hAnsi="Calibri"/>
          <w:b/>
          <w:color w:val="2E74B5"/>
          <w:sz w:val="32"/>
        </w:rPr>
        <w:t>Methods Used and Why</w:t>
      </w:r>
    </w:p>
    <w:tbl>
      <w:tblPr>
        <w:tblStyle w:val="TableGrid"/>
        <w:tblW w:type="dxa" w:w="9360"/>
        <w:tblLayout w:type="fixed"/>
        <w:tblLook w:firstColumn="1" w:firstRow="1" w:lastColumn="0" w:lastRow="0" w:noHBand="0" w:noVBand="1" w:val="04A0"/>
        <w:jc w:val="left"/>
        <w:tblInd w:w="120" w:type="dxa"/>
      </w:tblPr>
      <w:tblGrid>
        <w:gridCol w:w="1450"/>
        <w:gridCol w:w="2400"/>
        <w:gridCol w:w="2700"/>
        <w:gridCol w:w="2810"/>
      </w:tblGrid>
      <w:tr>
        <w:tc>
          <w:tcPr>
            <w:tcW w:type="dxa" w:w="1450"/>
            <w:shd w:fill="F2F4F7"/>
            <w:tcMar>
              <w:top w:w="80" w:type="dxa"/>
              <w:start w:w="120" w:type="dxa"/>
              <w:bottom w:w="80" w:type="dxa"/>
              <w:end w:w="120" w:type="dxa"/>
            </w:tcMar>
            <w:vAlign w:val="top"/>
          </w:tcPr>
          <w:p>
            <w:pPr>
              <w:spacing w:after="0" w:line="252" w:lineRule="auto"/>
            </w:pPr>
            <w:r/>
            <w:r>
              <w:rPr>
                <w:rFonts w:ascii="Calibri" w:hAnsi="Calibri"/>
                <w:b/>
                <w:color w:val="141414"/>
                <w:sz w:val="19"/>
              </w:rPr>
              <w:t>Method</w:t>
            </w:r>
          </w:p>
        </w:tc>
        <w:tc>
          <w:tcPr>
            <w:tcW w:type="dxa" w:w="2400"/>
            <w:shd w:fill="F2F4F7"/>
            <w:tcMar>
              <w:top w:w="80" w:type="dxa"/>
              <w:start w:w="120" w:type="dxa"/>
              <w:bottom w:w="80" w:type="dxa"/>
              <w:end w:w="120" w:type="dxa"/>
            </w:tcMar>
            <w:vAlign w:val="top"/>
          </w:tcPr>
          <w:p>
            <w:pPr>
              <w:spacing w:after="0" w:line="252" w:lineRule="auto"/>
            </w:pPr>
            <w:r/>
            <w:r>
              <w:rPr>
                <w:rFonts w:ascii="Calibri" w:hAnsi="Calibri"/>
                <w:b/>
                <w:color w:val="141414"/>
                <w:sz w:val="19"/>
              </w:rPr>
              <w:t>What was done</w:t>
            </w:r>
          </w:p>
        </w:tc>
        <w:tc>
          <w:tcPr>
            <w:tcW w:type="dxa" w:w="2700"/>
            <w:shd w:fill="F2F4F7"/>
            <w:tcMar>
              <w:top w:w="80" w:type="dxa"/>
              <w:start w:w="120" w:type="dxa"/>
              <w:bottom w:w="80" w:type="dxa"/>
              <w:end w:w="120" w:type="dxa"/>
            </w:tcMar>
            <w:vAlign w:val="top"/>
          </w:tcPr>
          <w:p>
            <w:pPr>
              <w:spacing w:after="0" w:line="252" w:lineRule="auto"/>
            </w:pPr>
            <w:r/>
            <w:r>
              <w:rPr>
                <w:rFonts w:ascii="Calibri" w:hAnsi="Calibri"/>
                <w:b/>
                <w:color w:val="141414"/>
                <w:sz w:val="19"/>
              </w:rPr>
              <w:t>Why it was used</w:t>
            </w:r>
          </w:p>
        </w:tc>
        <w:tc>
          <w:tcPr>
            <w:tcW w:type="dxa" w:w="2810"/>
            <w:shd w:fill="F2F4F7"/>
            <w:tcMar>
              <w:top w:w="80" w:type="dxa"/>
              <w:start w:w="120" w:type="dxa"/>
              <w:bottom w:w="80" w:type="dxa"/>
              <w:end w:w="120" w:type="dxa"/>
            </w:tcMar>
            <w:vAlign w:val="top"/>
          </w:tcPr>
          <w:p>
            <w:pPr>
              <w:spacing w:after="0" w:line="252" w:lineRule="auto"/>
            </w:pPr>
            <w:r/>
            <w:r>
              <w:rPr>
                <w:rFonts w:ascii="Calibri" w:hAnsi="Calibri"/>
                <w:b/>
                <w:color w:val="141414"/>
                <w:sz w:val="19"/>
              </w:rPr>
              <w:t>Notebook / section</w:t>
            </w:r>
          </w:p>
        </w:tc>
      </w:tr>
      <w:tr>
        <w:tc>
          <w:tcPr>
            <w:tcW w:type="dxa" w:w="1450"/>
            <w:tcMar>
              <w:top w:w="80" w:type="dxa"/>
              <w:start w:w="120" w:type="dxa"/>
              <w:bottom w:w="80" w:type="dxa"/>
              <w:end w:w="120" w:type="dxa"/>
            </w:tcMar>
            <w:vAlign w:val="top"/>
          </w:tcPr>
          <w:p>
            <w:pPr>
              <w:spacing w:after="0" w:line="252" w:lineRule="auto"/>
            </w:pPr>
            <w:r/>
            <w:r>
              <w:rPr>
                <w:rFonts w:ascii="Calibri" w:hAnsi="Calibri"/>
                <w:b w:val="0"/>
                <w:color w:val="141414"/>
                <w:sz w:val="18"/>
              </w:rPr>
              <w:t>Orientation correction</w:t>
            </w:r>
          </w:p>
        </w:tc>
        <w:tc>
          <w:tcPr>
            <w:tcW w:type="dxa" w:w="2400"/>
            <w:tcMar>
              <w:top w:w="80" w:type="dxa"/>
              <w:start w:w="120" w:type="dxa"/>
              <w:bottom w:w="80" w:type="dxa"/>
              <w:end w:w="120" w:type="dxa"/>
            </w:tcMar>
            <w:vAlign w:val="top"/>
          </w:tcPr>
          <w:p>
            <w:pPr>
              <w:spacing w:after="0" w:line="252" w:lineRule="auto"/>
            </w:pPr>
            <w:r/>
            <w:r>
              <w:rPr>
                <w:rFonts w:ascii="Calibri" w:hAnsi="Calibri"/>
                <w:b w:val="0"/>
                <w:color w:val="141414"/>
                <w:sz w:val="18"/>
              </w:rPr>
              <w:t>The raw source-row matrix is transposed into M[receiver, source].</w:t>
            </w:r>
          </w:p>
        </w:tc>
        <w:tc>
          <w:tcPr>
            <w:tcW w:type="dxa" w:w="2700"/>
            <w:tcMar>
              <w:top w:w="80" w:type="dxa"/>
              <w:start w:w="120" w:type="dxa"/>
              <w:bottom w:w="80" w:type="dxa"/>
              <w:end w:w="120" w:type="dxa"/>
            </w:tcMar>
            <w:vAlign w:val="top"/>
          </w:tcPr>
          <w:p>
            <w:pPr>
              <w:spacing w:after="0" w:line="252" w:lineRule="auto"/>
            </w:pPr>
            <w:r/>
            <w:r>
              <w:rPr>
                <w:rFonts w:ascii="Calibri" w:hAnsi="Calibri"/>
                <w:b w:val="0"/>
                <w:color w:val="141414"/>
                <w:sz w:val="18"/>
              </w:rPr>
              <w:t>This aligns biological source -&gt; receiver language with the standard linear update x[t + 1] = M x[t].</w:t>
            </w:r>
          </w:p>
        </w:tc>
        <w:tc>
          <w:tcPr>
            <w:tcW w:type="dxa" w:w="2810"/>
            <w:tcMar>
              <w:top w:w="80" w:type="dxa"/>
              <w:start w:w="120" w:type="dxa"/>
              <w:bottom w:w="80" w:type="dxa"/>
              <w:end w:w="120" w:type="dxa"/>
            </w:tcMar>
            <w:vAlign w:val="top"/>
          </w:tcPr>
          <w:p>
            <w:pPr>
              <w:spacing w:after="0" w:line="252" w:lineRule="auto"/>
            </w:pPr>
            <w:r/>
            <w:r>
              <w:rPr>
                <w:rFonts w:ascii="Calibri" w:hAnsi="Calibri"/>
                <w:b w:val="0"/>
                <w:color w:val="141414"/>
                <w:sz w:val="17"/>
              </w:rPr>
              <w:t>01_schur_eigenmodes.ipynb: Section 2, Matrix Orientation and Normalization; 09_linear_systems.ipynb: Section 2, Load Matrix and Unmask the Orientation Step; 07_inhibitory_modulation.ipynb: Load, orient, and normalize.</w:t>
            </w:r>
          </w:p>
        </w:tc>
      </w:tr>
      <w:tr>
        <w:tc>
          <w:tcPr>
            <w:tcW w:type="dxa" w:w="1450"/>
            <w:tcMar>
              <w:top w:w="80" w:type="dxa"/>
              <w:start w:w="120" w:type="dxa"/>
              <w:bottom w:w="80" w:type="dxa"/>
              <w:end w:w="120" w:type="dxa"/>
            </w:tcMar>
            <w:vAlign w:val="top"/>
          </w:tcPr>
          <w:p>
            <w:pPr>
              <w:spacing w:after="0" w:line="252" w:lineRule="auto"/>
            </w:pPr>
            <w:r/>
            <w:r>
              <w:rPr>
                <w:rFonts w:ascii="Calibri" w:hAnsi="Calibri"/>
                <w:b w:val="0"/>
                <w:color w:val="141414"/>
                <w:sz w:val="18"/>
              </w:rPr>
              <w:t>Spectral-radius normalization</w:t>
            </w:r>
          </w:p>
        </w:tc>
        <w:tc>
          <w:tcPr>
            <w:tcW w:type="dxa" w:w="2400"/>
            <w:tcMar>
              <w:top w:w="80" w:type="dxa"/>
              <w:start w:w="120" w:type="dxa"/>
              <w:bottom w:w="80" w:type="dxa"/>
              <w:end w:w="120" w:type="dxa"/>
            </w:tcMar>
            <w:vAlign w:val="top"/>
          </w:tcPr>
          <w:p>
            <w:pPr>
              <w:spacing w:after="0" w:line="252" w:lineRule="auto"/>
            </w:pPr>
            <w:r/>
            <w:r>
              <w:rPr>
                <w:rFonts w:ascii="Calibri" w:hAnsi="Calibri"/>
                <w:b w:val="0"/>
                <w:color w:val="141414"/>
                <w:sz w:val="18"/>
              </w:rPr>
              <w:t>Most analyses scale the matrix to a target spectral radius, commonly 0.95.</w:t>
            </w:r>
          </w:p>
        </w:tc>
        <w:tc>
          <w:tcPr>
            <w:tcW w:type="dxa" w:w="2700"/>
            <w:tcMar>
              <w:top w:w="80" w:type="dxa"/>
              <w:start w:w="120" w:type="dxa"/>
              <w:bottom w:w="80" w:type="dxa"/>
              <w:end w:w="120" w:type="dxa"/>
            </w:tcMar>
            <w:vAlign w:val="top"/>
          </w:tcPr>
          <w:p>
            <w:pPr>
              <w:spacing w:after="0" w:line="252" w:lineRule="auto"/>
            </w:pPr>
            <w:r/>
            <w:r>
              <w:rPr>
                <w:rFonts w:ascii="Calibri" w:hAnsi="Calibri"/>
                <w:b w:val="0"/>
                <w:color w:val="141414"/>
                <w:sz w:val="18"/>
              </w:rPr>
              <w:t>This prevents trivial blow-up in discrete propagation and allows comparisons across with-self and no-self variants.</w:t>
            </w:r>
          </w:p>
        </w:tc>
        <w:tc>
          <w:tcPr>
            <w:tcW w:type="dxa" w:w="2810"/>
            <w:tcMar>
              <w:top w:w="80" w:type="dxa"/>
              <w:start w:w="120" w:type="dxa"/>
              <w:bottom w:w="80" w:type="dxa"/>
              <w:end w:w="120" w:type="dxa"/>
            </w:tcMar>
            <w:vAlign w:val="top"/>
          </w:tcPr>
          <w:p>
            <w:pPr>
              <w:spacing w:after="0" w:line="252" w:lineRule="auto"/>
            </w:pPr>
            <w:r/>
            <w:r>
              <w:rPr>
                <w:rFonts w:ascii="Calibri" w:hAnsi="Calibri"/>
                <w:b w:val="0"/>
                <w:color w:val="141414"/>
                <w:sz w:val="17"/>
              </w:rPr>
              <w:t>01_schur_eigenmodes.ipynb: Section 2, Matrix Orientation and Normalization; 02_schur_eigenmodes_compare.ipynb: Run the matched comparison; 03_schur_signal.ipynb: Prepare all Schur modes; 10_linear_systems_compare.ipynb: Run the matched comparison.</w:t>
            </w:r>
          </w:p>
        </w:tc>
      </w:tr>
      <w:tr>
        <w:tc>
          <w:tcPr>
            <w:tcW w:type="dxa" w:w="1450"/>
            <w:tcMar>
              <w:top w:w="80" w:type="dxa"/>
              <w:start w:w="120" w:type="dxa"/>
              <w:bottom w:w="80" w:type="dxa"/>
              <w:end w:w="120" w:type="dxa"/>
            </w:tcMar>
            <w:vAlign w:val="top"/>
          </w:tcPr>
          <w:p>
            <w:pPr>
              <w:spacing w:after="0" w:line="252" w:lineRule="auto"/>
            </w:pPr>
            <w:r/>
            <w:r>
              <w:rPr>
                <w:rFonts w:ascii="Calibri" w:hAnsi="Calibri"/>
                <w:b w:val="0"/>
                <w:color w:val="141414"/>
                <w:sz w:val="18"/>
              </w:rPr>
              <w:t>Schur decomposition</w:t>
            </w:r>
          </w:p>
        </w:tc>
        <w:tc>
          <w:tcPr>
            <w:tcW w:type="dxa" w:w="2400"/>
            <w:tcMar>
              <w:top w:w="80" w:type="dxa"/>
              <w:start w:w="120" w:type="dxa"/>
              <w:bottom w:w="80" w:type="dxa"/>
              <w:end w:w="120" w:type="dxa"/>
            </w:tcMar>
            <w:vAlign w:val="top"/>
          </w:tcPr>
          <w:p>
            <w:pPr>
              <w:spacing w:after="0" w:line="252" w:lineRule="auto"/>
            </w:pPr>
            <w:r/>
            <w:r>
              <w:rPr>
                <w:rFonts w:ascii="Calibri" w:hAnsi="Calibri"/>
                <w:b w:val="0"/>
                <w:color w:val="141414"/>
                <w:sz w:val="18"/>
              </w:rPr>
              <w:t>The project computes A = Q T Q* in complex or real Schur form.</w:t>
            </w:r>
          </w:p>
        </w:tc>
        <w:tc>
          <w:tcPr>
            <w:tcW w:type="dxa" w:w="2700"/>
            <w:tcMar>
              <w:top w:w="80" w:type="dxa"/>
              <w:start w:w="120" w:type="dxa"/>
              <w:bottom w:w="80" w:type="dxa"/>
              <w:end w:w="120" w:type="dxa"/>
            </w:tcMar>
            <w:vAlign w:val="top"/>
          </w:tcPr>
          <w:p>
            <w:pPr>
              <w:spacing w:after="0" w:line="252" w:lineRule="auto"/>
            </w:pPr>
            <w:r/>
            <w:r>
              <w:rPr>
                <w:rFonts w:ascii="Calibri" w:hAnsi="Calibri"/>
                <w:b w:val="0"/>
                <w:color w:val="141414"/>
                <w:sz w:val="18"/>
              </w:rPr>
              <w:t>Schur vectors are orthonormal and numerically stable; T preserves upper-triangular mode-to-mode coupling.</w:t>
            </w:r>
          </w:p>
        </w:tc>
        <w:tc>
          <w:tcPr>
            <w:tcW w:type="dxa" w:w="2810"/>
            <w:tcMar>
              <w:top w:w="80" w:type="dxa"/>
              <w:start w:w="120" w:type="dxa"/>
              <w:bottom w:w="80" w:type="dxa"/>
              <w:end w:w="120" w:type="dxa"/>
            </w:tcMar>
            <w:vAlign w:val="top"/>
          </w:tcPr>
          <w:p>
            <w:pPr>
              <w:spacing w:after="0" w:line="252" w:lineRule="auto"/>
            </w:pPr>
            <w:r/>
            <w:r>
              <w:rPr>
                <w:rFonts w:ascii="Calibri" w:hAnsi="Calibri"/>
                <w:b w:val="0"/>
                <w:color w:val="141414"/>
                <w:sz w:val="17"/>
              </w:rPr>
              <w:t>01_schur_eigenmodes.ipynb: Section 3, Schur Decomposition, and Schur Decomposition: Upper-Triangular Coupling Map; 03_schur_signal.ipynb: Prepare all Schur modes.</w:t>
            </w:r>
          </w:p>
        </w:tc>
      </w:tr>
      <w:tr>
        <w:tc>
          <w:tcPr>
            <w:tcW w:type="dxa" w:w="1450"/>
            <w:tcMar>
              <w:top w:w="80" w:type="dxa"/>
              <w:start w:w="120" w:type="dxa"/>
              <w:bottom w:w="80" w:type="dxa"/>
              <w:end w:w="120" w:type="dxa"/>
            </w:tcMar>
            <w:vAlign w:val="top"/>
          </w:tcPr>
          <w:p>
            <w:pPr>
              <w:spacing w:after="0" w:line="252" w:lineRule="auto"/>
            </w:pPr>
            <w:r/>
            <w:r>
              <w:rPr>
                <w:rFonts w:ascii="Calibri" w:hAnsi="Calibri"/>
                <w:b w:val="0"/>
                <w:color w:val="141414"/>
                <w:sz w:val="18"/>
              </w:rPr>
              <w:t>Eigenvalue and dominant-mode analysis</w:t>
            </w:r>
          </w:p>
        </w:tc>
        <w:tc>
          <w:tcPr>
            <w:tcW w:type="dxa" w:w="2400"/>
            <w:tcMar>
              <w:top w:w="80" w:type="dxa"/>
              <w:start w:w="120" w:type="dxa"/>
              <w:bottom w:w="80" w:type="dxa"/>
              <w:end w:w="120" w:type="dxa"/>
            </w:tcMar>
            <w:vAlign w:val="top"/>
          </w:tcPr>
          <w:p>
            <w:pPr>
              <w:spacing w:after="0" w:line="252" w:lineRule="auto"/>
            </w:pPr>
            <w:r/>
            <w:r>
              <w:rPr>
                <w:rFonts w:ascii="Calibri" w:hAnsi="Calibri"/>
                <w:b w:val="0"/>
                <w:color w:val="141414"/>
                <w:sz w:val="18"/>
              </w:rPr>
              <w:t>Eigenvalues, dominant eigenvectors, and Schur-vector loadings are ranked and summarized by cell type and region.</w:t>
            </w:r>
          </w:p>
        </w:tc>
        <w:tc>
          <w:tcPr>
            <w:tcW w:type="dxa" w:w="2700"/>
            <w:tcMar>
              <w:top w:w="80" w:type="dxa"/>
              <w:start w:w="120" w:type="dxa"/>
              <w:bottom w:w="80" w:type="dxa"/>
              <w:end w:w="120" w:type="dxa"/>
            </w:tcMar>
            <w:vAlign w:val="top"/>
          </w:tcPr>
          <w:p>
            <w:pPr>
              <w:spacing w:after="0" w:line="252" w:lineRule="auto"/>
            </w:pPr>
            <w:r/>
            <w:r>
              <w:rPr>
                <w:rFonts w:ascii="Calibri" w:hAnsi="Calibri"/>
                <w:b w:val="0"/>
                <w:color w:val="141414"/>
                <w:sz w:val="18"/>
              </w:rPr>
              <w:t>Eigenvalues describe growth/decay and oscillation, while loadings connect abstract modes back to biological cell classes.</w:t>
            </w:r>
          </w:p>
        </w:tc>
        <w:tc>
          <w:tcPr>
            <w:tcW w:type="dxa" w:w="2810"/>
            <w:tcMar>
              <w:top w:w="80" w:type="dxa"/>
              <w:start w:w="120" w:type="dxa"/>
              <w:bottom w:w="80" w:type="dxa"/>
              <w:end w:w="120" w:type="dxa"/>
            </w:tcMar>
            <w:vAlign w:val="top"/>
          </w:tcPr>
          <w:p>
            <w:pPr>
              <w:spacing w:after="0" w:line="252" w:lineRule="auto"/>
            </w:pPr>
            <w:r/>
            <w:r>
              <w:rPr>
                <w:rFonts w:ascii="Calibri" w:hAnsi="Calibri"/>
                <w:b w:val="0"/>
                <w:color w:val="141414"/>
                <w:sz w:val="17"/>
              </w:rPr>
              <w:t>01_schur_eigenmodes.ipynb: Section 4, Visualizing the Eigenvalue Spectrum, and Section 6, Dominant Eigenvalue and True Dominant Eigenvector; 02_schur_eigenmodes_compare.ipynb: Eigenvalue spectra.</w:t>
            </w:r>
          </w:p>
        </w:tc>
      </w:tr>
      <w:tr>
        <w:tc>
          <w:tcPr>
            <w:tcW w:type="dxa" w:w="1450"/>
            <w:tcMar>
              <w:top w:w="80" w:type="dxa"/>
              <w:start w:w="120" w:type="dxa"/>
              <w:bottom w:w="80" w:type="dxa"/>
              <w:end w:w="120" w:type="dxa"/>
            </w:tcMar>
            <w:vAlign w:val="top"/>
          </w:tcPr>
          <w:p>
            <w:pPr>
              <w:spacing w:after="0" w:line="252" w:lineRule="auto"/>
            </w:pPr>
            <w:r/>
            <w:r>
              <w:rPr>
                <w:rFonts w:ascii="Calibri" w:hAnsi="Calibri"/>
                <w:b w:val="0"/>
                <w:color w:val="141414"/>
                <w:sz w:val="18"/>
              </w:rPr>
              <w:t>Left-action/readout analysis</w:t>
            </w:r>
          </w:p>
        </w:tc>
        <w:tc>
          <w:tcPr>
            <w:tcW w:type="dxa" w:w="2400"/>
            <w:tcMar>
              <w:top w:w="80" w:type="dxa"/>
              <w:start w:w="120" w:type="dxa"/>
              <w:bottom w:w="80" w:type="dxa"/>
              <w:end w:w="120" w:type="dxa"/>
            </w:tcMar>
            <w:vAlign w:val="top"/>
          </w:tcPr>
          <w:p>
            <w:pPr>
              <w:spacing w:after="0" w:line="252" w:lineRule="auto"/>
            </w:pPr>
            <w:r/>
            <w:r>
              <w:rPr>
                <w:rFonts w:ascii="Calibri" w:hAnsi="Calibri"/>
                <w:b w:val="0"/>
                <w:color w:val="141414"/>
                <w:sz w:val="18"/>
              </w:rPr>
              <w:t>Several notebooks distinguish Schur vectors from true eigenvectors and left eigenvector action/readout directions.</w:t>
            </w:r>
          </w:p>
        </w:tc>
        <w:tc>
          <w:tcPr>
            <w:tcW w:type="dxa" w:w="2700"/>
            <w:tcMar>
              <w:top w:w="80" w:type="dxa"/>
              <w:start w:w="120" w:type="dxa"/>
              <w:bottom w:w="80" w:type="dxa"/>
              <w:end w:w="120" w:type="dxa"/>
            </w:tcMar>
            <w:vAlign w:val="top"/>
          </w:tcPr>
          <w:p>
            <w:pPr>
              <w:spacing w:after="0" w:line="252" w:lineRule="auto"/>
            </w:pPr>
            <w:r/>
            <w:r>
              <w:rPr>
                <w:rFonts w:ascii="Calibri" w:hAnsi="Calibri"/>
                <w:b w:val="0"/>
                <w:color w:val="141414"/>
                <w:sz w:val="18"/>
              </w:rPr>
              <w:t>This avoids overinterpreting Schur vectors as eigenvectors and improves interpretation of mode sensitivity.</w:t>
            </w:r>
          </w:p>
        </w:tc>
        <w:tc>
          <w:tcPr>
            <w:tcW w:type="dxa" w:w="2810"/>
            <w:tcMar>
              <w:top w:w="80" w:type="dxa"/>
              <w:start w:w="120" w:type="dxa"/>
              <w:bottom w:w="80" w:type="dxa"/>
              <w:end w:w="120" w:type="dxa"/>
            </w:tcMar>
            <w:vAlign w:val="top"/>
          </w:tcPr>
          <w:p>
            <w:pPr>
              <w:spacing w:after="0" w:line="252" w:lineRule="auto"/>
            </w:pPr>
            <w:r/>
            <w:r>
              <w:rPr>
                <w:rFonts w:ascii="Calibri" w:hAnsi="Calibri"/>
                <w:b w:val="0"/>
                <w:color w:val="141414"/>
                <w:sz w:val="17"/>
              </w:rPr>
              <w:t>01_schur_eigenmodes.ipynb: Section 6, Dominant Eigenvalue and True Dominant Eigenvector; Section 8, Manual Coupling Trace; archive/eigenmode_analysis_mij_schur_corrected_left_action.ipynb for the earlier left-action-focused version.</w:t>
            </w:r>
          </w:p>
        </w:tc>
      </w:tr>
      <w:tr>
        <w:tc>
          <w:tcPr>
            <w:tcW w:type="dxa" w:w="1450"/>
            <w:tcMar>
              <w:top w:w="80" w:type="dxa"/>
              <w:start w:w="120" w:type="dxa"/>
              <w:bottom w:w="80" w:type="dxa"/>
              <w:end w:w="120" w:type="dxa"/>
            </w:tcMar>
            <w:vAlign w:val="top"/>
          </w:tcPr>
          <w:p>
            <w:pPr>
              <w:spacing w:after="0" w:line="252" w:lineRule="auto"/>
            </w:pPr>
            <w:r/>
            <w:r>
              <w:rPr>
                <w:rFonts w:ascii="Calibri" w:hAnsi="Calibri"/>
                <w:b w:val="0"/>
                <w:color w:val="141414"/>
                <w:sz w:val="18"/>
              </w:rPr>
              <w:t>E/I routing ratios and regimes</w:t>
            </w:r>
          </w:p>
        </w:tc>
        <w:tc>
          <w:tcPr>
            <w:tcW w:type="dxa" w:w="2400"/>
            <w:tcMar>
              <w:top w:w="80" w:type="dxa"/>
              <w:start w:w="120" w:type="dxa"/>
              <w:bottom w:w="80" w:type="dxa"/>
              <w:end w:w="120" w:type="dxa"/>
            </w:tcMar>
            <w:vAlign w:val="top"/>
          </w:tcPr>
          <w:p>
            <w:pPr>
              <w:spacing w:after="0" w:line="252" w:lineRule="auto"/>
            </w:pPr>
            <w:r/>
            <w:r>
              <w:rPr>
                <w:rFonts w:ascii="Calibri" w:hAnsi="Calibri"/>
                <w:b w:val="0"/>
                <w:color w:val="141414"/>
                <w:sz w:val="18"/>
              </w:rPr>
              <w:t>Active edges within high-loading mode contributors are classified by E/E, E/I, I/E, and I/I routing.</w:t>
            </w:r>
          </w:p>
        </w:tc>
        <w:tc>
          <w:tcPr>
            <w:tcW w:type="dxa" w:w="2700"/>
            <w:tcMar>
              <w:top w:w="80" w:type="dxa"/>
              <w:start w:w="120" w:type="dxa"/>
              <w:bottom w:w="80" w:type="dxa"/>
              <w:end w:w="120" w:type="dxa"/>
            </w:tcMar>
            <w:vAlign w:val="top"/>
          </w:tcPr>
          <w:p>
            <w:pPr>
              <w:spacing w:after="0" w:line="252" w:lineRule="auto"/>
            </w:pPr>
            <w:r/>
            <w:r>
              <w:rPr>
                <w:rFonts w:ascii="Calibri" w:hAnsi="Calibri"/>
                <w:b w:val="0"/>
                <w:color w:val="141414"/>
                <w:sz w:val="18"/>
              </w:rPr>
              <w:t>The goal is to describe whether a mode behaves like excitatory recurrence, inhibitory feedback, disinhibition, or mixed routing.</w:t>
            </w:r>
          </w:p>
        </w:tc>
        <w:tc>
          <w:tcPr>
            <w:tcW w:type="dxa" w:w="2810"/>
            <w:tcMar>
              <w:top w:w="80" w:type="dxa"/>
              <w:start w:w="120" w:type="dxa"/>
              <w:bottom w:w="80" w:type="dxa"/>
              <w:end w:w="120" w:type="dxa"/>
            </w:tcMar>
            <w:vAlign w:val="top"/>
          </w:tcPr>
          <w:p>
            <w:pPr>
              <w:spacing w:after="0" w:line="252" w:lineRule="auto"/>
            </w:pPr>
            <w:r/>
            <w:r>
              <w:rPr>
                <w:rFonts w:ascii="Calibri" w:hAnsi="Calibri"/>
                <w:b w:val="0"/>
                <w:color w:val="141414"/>
                <w:sz w:val="17"/>
              </w:rPr>
              <w:t>schur_analysis_utils_script.py: build_mode_routing_table and compute_ei_routing_ratios; archive/eigenmode_analysis_mij_schur.ipynb: Section 6, E/I Routing Ratios Across Schur Modes; 07_inhibitory_modulation.ipynb for explicit E/I block analysis.</w:t>
            </w:r>
          </w:p>
        </w:tc>
      </w:tr>
      <w:tr>
        <w:tc>
          <w:tcPr>
            <w:tcW w:type="dxa" w:w="1450"/>
            <w:tcMar>
              <w:top w:w="80" w:type="dxa"/>
              <w:start w:w="120" w:type="dxa"/>
              <w:bottom w:w="80" w:type="dxa"/>
              <w:end w:w="120" w:type="dxa"/>
            </w:tcMar>
            <w:vAlign w:val="top"/>
          </w:tcPr>
          <w:p>
            <w:pPr>
              <w:spacing w:after="0" w:line="252" w:lineRule="auto"/>
            </w:pPr>
            <w:r/>
            <w:r>
              <w:rPr>
                <w:rFonts w:ascii="Calibri" w:hAnsi="Calibri"/>
                <w:b w:val="0"/>
                <w:color w:val="141414"/>
                <w:sz w:val="18"/>
              </w:rPr>
              <w:t>Signal propagation in Schur coordinates</w:t>
            </w:r>
          </w:p>
        </w:tc>
        <w:tc>
          <w:tcPr>
            <w:tcW w:type="dxa" w:w="2400"/>
            <w:tcMar>
              <w:top w:w="80" w:type="dxa"/>
              <w:start w:w="120" w:type="dxa"/>
              <w:bottom w:w="80" w:type="dxa"/>
              <w:end w:w="120" w:type="dxa"/>
            </w:tcMar>
            <w:vAlign w:val="top"/>
          </w:tcPr>
          <w:p>
            <w:pPr>
              <w:spacing w:after="0" w:line="252" w:lineRule="auto"/>
            </w:pPr>
            <w:r/>
            <w:r>
              <w:rPr>
                <w:rFonts w:ascii="Calibri" w:hAnsi="Calibri"/>
                <w:b w:val="0"/>
                <w:color w:val="141414"/>
                <w:sz w:val="18"/>
              </w:rPr>
              <w:t>Initial activity in selected cell classes is mapped into Schur coordinates and advanced by T.</w:t>
            </w:r>
          </w:p>
        </w:tc>
        <w:tc>
          <w:tcPr>
            <w:tcW w:type="dxa" w:w="2700"/>
            <w:tcMar>
              <w:top w:w="80" w:type="dxa"/>
              <w:start w:w="120" w:type="dxa"/>
              <w:bottom w:w="80" w:type="dxa"/>
              <w:end w:w="120" w:type="dxa"/>
            </w:tcMar>
            <w:vAlign w:val="top"/>
          </w:tcPr>
          <w:p>
            <w:pPr>
              <w:spacing w:after="0" w:line="252" w:lineRule="auto"/>
            </w:pPr>
            <w:r/>
            <w:r>
              <w:rPr>
                <w:rFonts w:ascii="Calibri" w:hAnsi="Calibri"/>
                <w:b w:val="0"/>
                <w:color w:val="141414"/>
                <w:sz w:val="18"/>
              </w:rPr>
              <w:t>This shows how a perturbation spreads through the modal coupling hierarchy rather than only through raw edges.</w:t>
            </w:r>
          </w:p>
        </w:tc>
        <w:tc>
          <w:tcPr>
            <w:tcW w:type="dxa" w:w="2810"/>
            <w:tcMar>
              <w:top w:w="80" w:type="dxa"/>
              <w:start w:w="120" w:type="dxa"/>
              <w:bottom w:w="80" w:type="dxa"/>
              <w:end w:w="120" w:type="dxa"/>
            </w:tcMar>
            <w:vAlign w:val="top"/>
          </w:tcPr>
          <w:p>
            <w:pPr>
              <w:spacing w:after="0" w:line="252" w:lineRule="auto"/>
            </w:pPr>
            <w:r/>
            <w:r>
              <w:rPr>
                <w:rFonts w:ascii="Calibri" w:hAnsi="Calibri"/>
                <w:b w:val="0"/>
                <w:color w:val="141414"/>
                <w:sz w:val="17"/>
              </w:rPr>
              <w:t>03_schur_signal.ipynb: Prepare all Schur modes, Propagate every mode, Inspect one cascade mode, and Compare cascade propagation with the isolated mode; 04_schur_signal_compare.ipynb: Run all-mode propagation.</w:t>
            </w:r>
          </w:p>
        </w:tc>
      </w:tr>
      <w:tr>
        <w:tc>
          <w:tcPr>
            <w:tcW w:type="dxa" w:w="1450"/>
            <w:tcMar>
              <w:top w:w="80" w:type="dxa"/>
              <w:start w:w="120" w:type="dxa"/>
              <w:bottom w:w="80" w:type="dxa"/>
              <w:end w:w="120" w:type="dxa"/>
            </w:tcMar>
            <w:vAlign w:val="top"/>
          </w:tcPr>
          <w:p>
            <w:pPr>
              <w:spacing w:after="0" w:line="252" w:lineRule="auto"/>
            </w:pPr>
            <w:r/>
            <w:r>
              <w:rPr>
                <w:rFonts w:ascii="Calibri" w:hAnsi="Calibri"/>
                <w:b w:val="0"/>
                <w:color w:val="141414"/>
                <w:sz w:val="18"/>
              </w:rPr>
              <w:t>Path-power analysis</w:t>
            </w:r>
          </w:p>
        </w:tc>
        <w:tc>
          <w:tcPr>
            <w:tcW w:type="dxa" w:w="2400"/>
            <w:tcMar>
              <w:top w:w="80" w:type="dxa"/>
              <w:start w:w="120" w:type="dxa"/>
              <w:bottom w:w="80" w:type="dxa"/>
              <w:end w:w="120" w:type="dxa"/>
            </w:tcMar>
            <w:vAlign w:val="top"/>
          </w:tcPr>
          <w:p>
            <w:pPr>
              <w:spacing w:after="0" w:line="252" w:lineRule="auto"/>
            </w:pPr>
            <w:r/>
            <w:r>
              <w:rPr>
                <w:rFonts w:ascii="Calibri" w:hAnsi="Calibri"/>
                <w:b w:val="0"/>
                <w:color w:val="141414"/>
                <w:sz w:val="18"/>
              </w:rPr>
              <w:t>The project computes M^k and cumulative weighted path matrices.</w:t>
            </w:r>
          </w:p>
        </w:tc>
        <w:tc>
          <w:tcPr>
            <w:tcW w:type="dxa" w:w="2700"/>
            <w:tcMar>
              <w:top w:w="80" w:type="dxa"/>
              <w:start w:w="120" w:type="dxa"/>
              <w:bottom w:w="80" w:type="dxa"/>
              <w:end w:w="120" w:type="dxa"/>
            </w:tcMar>
            <w:vAlign w:val="top"/>
          </w:tcPr>
          <w:p>
            <w:pPr>
              <w:spacing w:after="0" w:line="252" w:lineRule="auto"/>
            </w:pPr>
            <w:r/>
            <w:r>
              <w:rPr>
                <w:rFonts w:ascii="Calibri" w:hAnsi="Calibri"/>
                <w:b w:val="0"/>
                <w:color w:val="141414"/>
                <w:sz w:val="18"/>
              </w:rPr>
              <w:t>Powers of M aggregate all length-k walks from source to receiver, revealing indirect propagation channels.</w:t>
            </w:r>
          </w:p>
        </w:tc>
        <w:tc>
          <w:tcPr>
            <w:tcW w:type="dxa" w:w="2810"/>
            <w:tcMar>
              <w:top w:w="80" w:type="dxa"/>
              <w:start w:w="120" w:type="dxa"/>
              <w:bottom w:w="80" w:type="dxa"/>
              <w:end w:w="120" w:type="dxa"/>
            </w:tcMar>
            <w:vAlign w:val="top"/>
          </w:tcPr>
          <w:p>
            <w:pPr>
              <w:spacing w:after="0" w:line="252" w:lineRule="auto"/>
            </w:pPr>
            <w:r/>
            <w:r>
              <w:rPr>
                <w:rFonts w:ascii="Calibri" w:hAnsi="Calibri"/>
                <w:b w:val="0"/>
                <w:color w:val="141414"/>
                <w:sz w:val="17"/>
              </w:rPr>
              <w:t>09_linear_systems.ipynb: Part I, Structural Path Analysis: Matrix Power Series; Section 4, Enumerate Top Paths at Each Length; Section 5, Cumulative Path Reachability.</w:t>
            </w:r>
          </w:p>
        </w:tc>
      </w:tr>
      <w:tr>
        <w:tc>
          <w:tcPr>
            <w:tcW w:type="dxa" w:w="1450"/>
            <w:tcMar>
              <w:top w:w="80" w:type="dxa"/>
              <w:start w:w="120" w:type="dxa"/>
              <w:bottom w:w="80" w:type="dxa"/>
              <w:end w:w="120" w:type="dxa"/>
            </w:tcMar>
            <w:vAlign w:val="top"/>
          </w:tcPr>
          <w:p>
            <w:pPr>
              <w:spacing w:after="0" w:line="252" w:lineRule="auto"/>
            </w:pPr>
            <w:r/>
            <w:r>
              <w:rPr>
                <w:rFonts w:ascii="Calibri" w:hAnsi="Calibri"/>
                <w:b w:val="0"/>
                <w:color w:val="141414"/>
                <w:sz w:val="18"/>
              </w:rPr>
              <w:t>Controllability and frequency response</w:t>
            </w:r>
          </w:p>
        </w:tc>
        <w:tc>
          <w:tcPr>
            <w:tcW w:type="dxa" w:w="2400"/>
            <w:tcMar>
              <w:top w:w="80" w:type="dxa"/>
              <w:start w:w="120" w:type="dxa"/>
              <w:bottom w:w="80" w:type="dxa"/>
              <w:end w:w="120" w:type="dxa"/>
            </w:tcMar>
            <w:vAlign w:val="top"/>
          </w:tcPr>
          <w:p>
            <w:pPr>
              <w:spacing w:after="0" w:line="252" w:lineRule="auto"/>
            </w:pPr>
            <w:r/>
            <w:r>
              <w:rPr>
                <w:rFonts w:ascii="Calibri" w:hAnsi="Calibri"/>
                <w:b w:val="0"/>
                <w:color w:val="141414"/>
                <w:sz w:val="18"/>
              </w:rPr>
              <w:t>Discrete Gramians, continuous-time shifted systems, and transfer-function gains are computed.</w:t>
            </w:r>
          </w:p>
        </w:tc>
        <w:tc>
          <w:tcPr>
            <w:tcW w:type="dxa" w:w="2700"/>
            <w:tcMar>
              <w:top w:w="80" w:type="dxa"/>
              <w:start w:w="120" w:type="dxa"/>
              <w:bottom w:w="80" w:type="dxa"/>
              <w:end w:w="120" w:type="dxa"/>
            </w:tcMar>
            <w:vAlign w:val="top"/>
          </w:tcPr>
          <w:p>
            <w:pPr>
              <w:spacing w:after="0" w:line="252" w:lineRule="auto"/>
            </w:pPr>
            <w:r/>
            <w:r>
              <w:rPr>
                <w:rFonts w:ascii="Calibri" w:hAnsi="Calibri"/>
                <w:b w:val="0"/>
                <w:color w:val="141414"/>
                <w:sz w:val="18"/>
              </w:rPr>
              <w:t>These methods ask which nodes are influential drivers and which frequencies produce large network responses.</w:t>
            </w:r>
          </w:p>
        </w:tc>
        <w:tc>
          <w:tcPr>
            <w:tcW w:type="dxa" w:w="2810"/>
            <w:tcMar>
              <w:top w:w="80" w:type="dxa"/>
              <w:start w:w="120" w:type="dxa"/>
              <w:bottom w:w="80" w:type="dxa"/>
              <w:end w:w="120" w:type="dxa"/>
            </w:tcMar>
            <w:vAlign w:val="top"/>
          </w:tcPr>
          <w:p>
            <w:pPr>
              <w:spacing w:after="0" w:line="252" w:lineRule="auto"/>
            </w:pPr>
            <w:r/>
            <w:r>
              <w:rPr>
                <w:rFonts w:ascii="Calibri" w:hAnsi="Calibri"/>
                <w:b w:val="0"/>
                <w:color w:val="141414"/>
                <w:sz w:val="17"/>
              </w:rPr>
              <w:t>09_linear_systems.ipynb: Part II, Controllability Gramian Analysis, and Part III, Frequency Response; 10_linear_systems_compare.ipynb: Path and controllability rankings and Frequency-response curves.</w:t>
            </w:r>
          </w:p>
        </w:tc>
      </w:tr>
      <w:tr>
        <w:tc>
          <w:tcPr>
            <w:tcW w:type="dxa" w:w="1450"/>
            <w:tcMar>
              <w:top w:w="80" w:type="dxa"/>
              <w:start w:w="120" w:type="dxa"/>
              <w:bottom w:w="80" w:type="dxa"/>
              <w:end w:w="120" w:type="dxa"/>
            </w:tcMar>
            <w:vAlign w:val="top"/>
          </w:tcPr>
          <w:p>
            <w:pPr>
              <w:spacing w:after="0" w:line="252" w:lineRule="auto"/>
            </w:pPr>
            <w:r/>
            <w:r>
              <w:rPr>
                <w:rFonts w:ascii="Calibri" w:hAnsi="Calibri"/>
                <w:b w:val="0"/>
                <w:color w:val="141414"/>
                <w:sz w:val="18"/>
              </w:rPr>
              <w:t>Greedy mode trees</w:t>
            </w:r>
          </w:p>
        </w:tc>
        <w:tc>
          <w:tcPr>
            <w:tcW w:type="dxa" w:w="2400"/>
            <w:tcMar>
              <w:top w:w="80" w:type="dxa"/>
              <w:start w:w="120" w:type="dxa"/>
              <w:bottom w:w="80" w:type="dxa"/>
              <w:end w:w="120" w:type="dxa"/>
            </w:tcMar>
            <w:vAlign w:val="top"/>
          </w:tcPr>
          <w:p>
            <w:pPr>
              <w:spacing w:after="0" w:line="252" w:lineRule="auto"/>
            </w:pPr>
            <w:r/>
            <w:r>
              <w:rPr>
                <w:rFonts w:ascii="Calibri" w:hAnsi="Calibri"/>
                <w:b w:val="0"/>
                <w:color w:val="141414"/>
                <w:sz w:val="18"/>
              </w:rPr>
              <w:t>Top contributors to each Schur mode are reduced to compact source-to-receiver trees.</w:t>
            </w:r>
          </w:p>
        </w:tc>
        <w:tc>
          <w:tcPr>
            <w:tcW w:type="dxa" w:w="2700"/>
            <w:tcMar>
              <w:top w:w="80" w:type="dxa"/>
              <w:start w:w="120" w:type="dxa"/>
              <w:bottom w:w="80" w:type="dxa"/>
              <w:end w:w="120" w:type="dxa"/>
            </w:tcMar>
            <w:vAlign w:val="top"/>
          </w:tcPr>
          <w:p>
            <w:pPr>
              <w:spacing w:after="0" w:line="252" w:lineRule="auto"/>
            </w:pPr>
            <w:r/>
            <w:r>
              <w:rPr>
                <w:rFonts w:ascii="Calibri" w:hAnsi="Calibri"/>
                <w:b w:val="0"/>
                <w:color w:val="141414"/>
                <w:sz w:val="18"/>
              </w:rPr>
              <w:t>This turns dense modal loadings into inspectable candidate subnetworks for advisor discussion.</w:t>
            </w:r>
          </w:p>
        </w:tc>
        <w:tc>
          <w:tcPr>
            <w:tcW w:type="dxa" w:w="2810"/>
            <w:tcMar>
              <w:top w:w="80" w:type="dxa"/>
              <w:start w:w="120" w:type="dxa"/>
              <w:bottom w:w="80" w:type="dxa"/>
              <w:end w:w="120" w:type="dxa"/>
            </w:tcMar>
            <w:vAlign w:val="top"/>
          </w:tcPr>
          <w:p>
            <w:pPr>
              <w:spacing w:after="0" w:line="252" w:lineRule="auto"/>
            </w:pPr>
            <w:r/>
            <w:r>
              <w:rPr>
                <w:rFonts w:ascii="Calibri" w:hAnsi="Calibri"/>
                <w:b w:val="0"/>
                <w:color w:val="141414"/>
                <w:sz w:val="17"/>
              </w:rPr>
              <w:t>05_schur_greedy_trees.ipynb: Build the top-7 subnetworks and greedy trees, Print every mode's greedy information-flow tree, Inspect one mode interactively; 06_schur_mode_case_studies.ipynb: Merge propagation and greedy-tree views.</w:t>
            </w:r>
          </w:p>
        </w:tc>
      </w:tr>
      <w:tr>
        <w:tc>
          <w:tcPr>
            <w:tcW w:type="dxa" w:w="1450"/>
            <w:tcMar>
              <w:top w:w="80" w:type="dxa"/>
              <w:start w:w="120" w:type="dxa"/>
              <w:bottom w:w="80" w:type="dxa"/>
              <w:end w:w="120" w:type="dxa"/>
            </w:tcMar>
            <w:vAlign w:val="top"/>
          </w:tcPr>
          <w:p>
            <w:pPr>
              <w:spacing w:after="0" w:line="252" w:lineRule="auto"/>
            </w:pPr>
            <w:r/>
            <w:r>
              <w:rPr>
                <w:rFonts w:ascii="Calibri" w:hAnsi="Calibri"/>
                <w:b w:val="0"/>
                <w:color w:val="141414"/>
                <w:sz w:val="18"/>
              </w:rPr>
              <w:t>Inhibitory Schur complement</w:t>
            </w:r>
          </w:p>
        </w:tc>
        <w:tc>
          <w:tcPr>
            <w:tcW w:type="dxa" w:w="2400"/>
            <w:tcMar>
              <w:top w:w="80" w:type="dxa"/>
              <w:start w:w="120" w:type="dxa"/>
              <w:bottom w:w="80" w:type="dxa"/>
              <w:end w:w="120" w:type="dxa"/>
            </w:tcMar>
            <w:vAlign w:val="top"/>
          </w:tcPr>
          <w:p>
            <w:pPr>
              <w:spacing w:after="0" w:line="252" w:lineRule="auto"/>
            </w:pPr>
            <w:r/>
            <w:r>
              <w:rPr>
                <w:rFonts w:ascii="Calibri" w:hAnsi="Calibri"/>
                <w:b w:val="0"/>
                <w:color w:val="141414"/>
                <w:sz w:val="18"/>
              </w:rPr>
              <w:t>The inhibitory block is eliminated to form an effective excitatory matrix.</w:t>
            </w:r>
          </w:p>
        </w:tc>
        <w:tc>
          <w:tcPr>
            <w:tcW w:type="dxa" w:w="2700"/>
            <w:tcMar>
              <w:top w:w="80" w:type="dxa"/>
              <w:start w:w="120" w:type="dxa"/>
              <w:bottom w:w="80" w:type="dxa"/>
              <w:end w:w="120" w:type="dxa"/>
            </w:tcMar>
            <w:vAlign w:val="top"/>
          </w:tcPr>
          <w:p>
            <w:pPr>
              <w:spacing w:after="0" w:line="252" w:lineRule="auto"/>
            </w:pPr>
            <w:r/>
            <w:r>
              <w:rPr>
                <w:rFonts w:ascii="Calibri" w:hAnsi="Calibri"/>
                <w:b w:val="0"/>
                <w:color w:val="141414"/>
                <w:sz w:val="18"/>
              </w:rPr>
              <w:t>This separates direct excitatory recurrence from inhibitory feedback and chained disinhibitory effects.</w:t>
            </w:r>
          </w:p>
        </w:tc>
        <w:tc>
          <w:tcPr>
            <w:tcW w:type="dxa" w:w="2810"/>
            <w:tcMar>
              <w:top w:w="80" w:type="dxa"/>
              <w:start w:w="120" w:type="dxa"/>
              <w:bottom w:w="80" w:type="dxa"/>
              <w:end w:w="120" w:type="dxa"/>
            </w:tcMar>
            <w:vAlign w:val="top"/>
          </w:tcPr>
          <w:p>
            <w:pPr>
              <w:spacing w:after="0" w:line="252" w:lineRule="auto"/>
            </w:pPr>
            <w:r/>
            <w:r>
              <w:rPr>
                <w:rFonts w:ascii="Calibri" w:hAnsi="Calibri"/>
                <w:b w:val="0"/>
                <w:color w:val="141414"/>
                <w:sz w:val="17"/>
              </w:rPr>
              <w:t>07_inhibitory_modulation.ipynb: Perturbation, Schur complement, Motif enrichment and stability, Neumann series, and E-I-E/E-I-I-E configuration sections; 08_inhibitory_compare.ipynb: Core inhibitory results and Motifs and disinhibitory chains.</w:t>
            </w:r>
          </w:p>
        </w:tc>
      </w:tr>
    </w:tbl>
    <w:p>
      <w:pPr>
        <w:spacing w:after="40"/>
      </w:pPr>
    </w:p>
    <w:p>
      <w:pPr>
        <w:pStyle w:val="Heading1"/>
        <w:spacing w:before="320" w:after="160"/>
      </w:pPr>
      <w:r>
        <w:rPr>
          <w:rFonts w:ascii="Calibri" w:hAnsi="Calibri"/>
          <w:b/>
          <w:color w:val="2E74B5"/>
          <w:sz w:val="32"/>
        </w:rPr>
        <w:t>Current Outputs and Interpretation</w:t>
      </w:r>
    </w:p>
    <w:p>
      <w:pPr>
        <w:pStyle w:val="Heading2"/>
        <w:spacing w:before="240" w:after="120"/>
      </w:pPr>
      <w:r>
        <w:rPr>
          <w:rFonts w:ascii="Calibri" w:hAnsi="Calibri"/>
          <w:b/>
          <w:color w:val="2E74B5"/>
          <w:sz w:val="26"/>
        </w:rPr>
        <w:t>Schur modes</w:t>
      </w:r>
    </w:p>
    <w:p>
      <w:pPr>
        <w:spacing w:before="0" w:after="120" w:line="264" w:lineRule="auto"/>
      </w:pPr>
      <w:r>
        <w:rPr>
          <w:rFonts w:ascii="Calibri" w:hAnsi="Calibri"/>
          <w:color w:val="141414"/>
        </w:rPr>
        <w:t>The saved Schur archive contains 85 modes from the normalized state matrix. The output tables summarize each mode by eigenvalue, dominant region, dominant cell type, loading magnitude, and the number of high-loading excitatory/inhibitory contributors.</w:t>
      </w:r>
    </w:p>
    <w:tbl>
      <w:tblPr>
        <w:tblStyle w:val="TableGrid"/>
        <w:tblW w:type="dxa" w:w="9360"/>
        <w:jc w:val="left"/>
        <w:tblLayout w:type="fixed"/>
        <w:tblLook w:firstColumn="1" w:firstRow="1" w:lastColumn="0" w:lastRow="0" w:noHBand="0" w:noVBand="1" w:val="04A0"/>
        <w:tblInd w:w="120" w:type="dxa"/>
      </w:tblPr>
      <w:tblGrid>
        <w:gridCol w:w="800"/>
        <w:gridCol w:w="1000"/>
        <w:gridCol w:w="3650"/>
        <w:gridCol w:w="1000"/>
        <w:gridCol w:w="800"/>
        <w:gridCol w:w="2110"/>
      </w:tblGrid>
      <w:tr>
        <w:tc>
          <w:tcPr>
            <w:tcW w:type="dxa" w:w="800"/>
            <w:shd w:fill="F2F4F7"/>
            <w:tcMar>
              <w:top w:w="80" w:type="dxa"/>
              <w:start w:w="120" w:type="dxa"/>
              <w:bottom w:w="80" w:type="dxa"/>
              <w:end w:w="120" w:type="dxa"/>
            </w:tcMar>
            <w:vAlign w:val="top"/>
          </w:tcPr>
          <w:p>
            <w:pPr>
              <w:spacing w:after="0"/>
            </w:pPr>
            <w:r>
              <w:rPr>
                <w:rFonts w:ascii="Calibri" w:hAnsi="Calibri"/>
                <w:b/>
                <w:color w:val="141414"/>
              </w:rPr>
              <w:t>Mode</w:t>
            </w:r>
          </w:p>
        </w:tc>
        <w:tc>
          <w:tcPr>
            <w:tcW w:type="dxa" w:w="1000"/>
            <w:shd w:fill="F2F4F7"/>
            <w:tcMar>
              <w:top w:w="80" w:type="dxa"/>
              <w:start w:w="120" w:type="dxa"/>
              <w:bottom w:w="80" w:type="dxa"/>
              <w:end w:w="120" w:type="dxa"/>
            </w:tcMar>
            <w:vAlign w:val="top"/>
          </w:tcPr>
          <w:p>
            <w:pPr>
              <w:spacing w:after="0"/>
            </w:pPr>
            <w:r>
              <w:rPr>
                <w:rFonts w:ascii="Calibri" w:hAnsi="Calibri"/>
                <w:b/>
                <w:color w:val="141414"/>
              </w:rPr>
              <w:t>|lambda|</w:t>
            </w:r>
          </w:p>
        </w:tc>
        <w:tc>
          <w:tcPr>
            <w:tcW w:type="dxa" w:w="3650"/>
            <w:shd w:fill="F2F4F7"/>
            <w:tcMar>
              <w:top w:w="80" w:type="dxa"/>
              <w:start w:w="120" w:type="dxa"/>
              <w:bottom w:w="80" w:type="dxa"/>
              <w:end w:w="120" w:type="dxa"/>
            </w:tcMar>
            <w:vAlign w:val="top"/>
          </w:tcPr>
          <w:p>
            <w:pPr>
              <w:spacing w:after="0"/>
            </w:pPr>
            <w:r>
              <w:rPr>
                <w:rFonts w:ascii="Calibri" w:hAnsi="Calibri"/>
                <w:b/>
                <w:color w:val="141414"/>
              </w:rPr>
              <w:t>Dominant cell type</w:t>
            </w:r>
          </w:p>
        </w:tc>
        <w:tc>
          <w:tcPr>
            <w:tcW w:type="dxa" w:w="1000"/>
            <w:shd w:fill="F2F4F7"/>
            <w:tcMar>
              <w:top w:w="80" w:type="dxa"/>
              <w:start w:w="120" w:type="dxa"/>
              <w:bottom w:w="80" w:type="dxa"/>
              <w:end w:w="120" w:type="dxa"/>
            </w:tcMar>
            <w:vAlign w:val="top"/>
          </w:tcPr>
          <w:p>
            <w:pPr>
              <w:spacing w:after="0"/>
            </w:pPr>
            <w:r>
              <w:rPr>
                <w:rFonts w:ascii="Calibri" w:hAnsi="Calibri"/>
                <w:b/>
                <w:color w:val="141414"/>
              </w:rPr>
              <w:t>Region</w:t>
            </w:r>
          </w:p>
        </w:tc>
        <w:tc>
          <w:tcPr>
            <w:tcW w:type="dxa" w:w="800"/>
            <w:shd w:fill="F2F4F7"/>
            <w:tcMar>
              <w:top w:w="80" w:type="dxa"/>
              <w:start w:w="120" w:type="dxa"/>
              <w:bottom w:w="80" w:type="dxa"/>
              <w:end w:w="120" w:type="dxa"/>
            </w:tcMar>
            <w:vAlign w:val="top"/>
          </w:tcPr>
          <w:p>
            <w:pPr>
              <w:spacing w:after="0"/>
            </w:pPr>
            <w:r>
              <w:rPr>
                <w:rFonts w:ascii="Calibri" w:hAnsi="Calibri"/>
                <w:b/>
                <w:color w:val="141414"/>
              </w:rPr>
              <w:t>E/I</w:t>
            </w:r>
          </w:p>
        </w:tc>
        <w:tc>
          <w:tcPr>
            <w:tcW w:type="dxa" w:w="2110"/>
            <w:shd w:fill="F2F4F7"/>
            <w:tcMar>
              <w:top w:w="80" w:type="dxa"/>
              <w:start w:w="120" w:type="dxa"/>
              <w:bottom w:w="80" w:type="dxa"/>
              <w:end w:w="120" w:type="dxa"/>
            </w:tcMar>
            <w:vAlign w:val="top"/>
          </w:tcPr>
          <w:p>
            <w:pPr>
              <w:spacing w:after="0"/>
            </w:pPr>
            <w:r>
              <w:rPr>
                <w:rFonts w:ascii="Calibri" w:hAnsi="Calibri"/>
                <w:b/>
                <w:color w:val="141414"/>
              </w:rPr>
              <w:t>Tree edges</w:t>
            </w:r>
          </w:p>
        </w:tc>
      </w:tr>
      <w:tr>
        <w:tc>
          <w:tcPr>
            <w:tcW w:type="dxa" w:w="800"/>
            <w:tcMar>
              <w:top w:w="80" w:type="dxa"/>
              <w:start w:w="120" w:type="dxa"/>
              <w:bottom w:w="80" w:type="dxa"/>
              <w:end w:w="120" w:type="dxa"/>
            </w:tcMar>
            <w:vAlign w:val="top"/>
          </w:tcPr>
          <w:p>
            <w:pPr>
              <w:spacing w:after="0"/>
            </w:pPr>
            <w:r>
              <w:rPr>
                <w:rFonts w:ascii="Calibri" w:hAnsi="Calibri"/>
                <w:color w:val="141414"/>
              </w:rPr>
              <w:t>0</w:t>
            </w:r>
          </w:p>
        </w:tc>
        <w:tc>
          <w:tcPr>
            <w:tcW w:type="dxa" w:w="1000"/>
            <w:tcMar>
              <w:top w:w="80" w:type="dxa"/>
              <w:start w:w="120" w:type="dxa"/>
              <w:bottom w:w="80" w:type="dxa"/>
              <w:end w:w="120" w:type="dxa"/>
            </w:tcMar>
            <w:vAlign w:val="top"/>
          </w:tcPr>
          <w:p>
            <w:pPr>
              <w:spacing w:after="0"/>
            </w:pPr>
            <w:r>
              <w:rPr>
                <w:rFonts w:ascii="Calibri" w:hAnsi="Calibri"/>
                <w:color w:val="141414"/>
              </w:rPr>
              <w:t>0.950</w:t>
            </w:r>
          </w:p>
        </w:tc>
        <w:tc>
          <w:tcPr>
            <w:tcW w:type="dxa" w:w="3650"/>
            <w:tcMar>
              <w:top w:w="80" w:type="dxa"/>
              <w:start w:w="120" w:type="dxa"/>
              <w:bottom w:w="80" w:type="dxa"/>
              <w:end w:w="120" w:type="dxa"/>
            </w:tcMar>
            <w:vAlign w:val="top"/>
          </w:tcPr>
          <w:p>
            <w:pPr>
              <w:spacing w:after="0"/>
            </w:pPr>
            <w:r>
              <w:rPr>
                <w:rFonts w:ascii="Calibri" w:hAnsi="Calibri"/>
                <w:color w:val="141414"/>
              </w:rPr>
              <w:t>MEC LIII Superficial Multipolar Interneuron</w:t>
            </w:r>
          </w:p>
        </w:tc>
        <w:tc>
          <w:tcPr>
            <w:tcW w:type="dxa" w:w="1000"/>
            <w:tcMar>
              <w:top w:w="80" w:type="dxa"/>
              <w:start w:w="120" w:type="dxa"/>
              <w:bottom w:w="80" w:type="dxa"/>
              <w:end w:w="120" w:type="dxa"/>
            </w:tcMar>
            <w:vAlign w:val="top"/>
          </w:tcPr>
          <w:p>
            <w:pPr>
              <w:spacing w:after="0"/>
            </w:pPr>
            <w:r>
              <w:rPr>
                <w:rFonts w:ascii="Calibri" w:hAnsi="Calibri"/>
                <w:color w:val="141414"/>
              </w:rPr>
              <w:t>MEC</w:t>
            </w:r>
          </w:p>
        </w:tc>
        <w:tc>
          <w:tcPr>
            <w:tcW w:type="dxa" w:w="800"/>
            <w:tcMar>
              <w:top w:w="80" w:type="dxa"/>
              <w:start w:w="120" w:type="dxa"/>
              <w:bottom w:w="80" w:type="dxa"/>
              <w:end w:w="120" w:type="dxa"/>
            </w:tcMar>
            <w:vAlign w:val="top"/>
          </w:tcPr>
          <w:p>
            <w:pPr>
              <w:spacing w:after="0"/>
            </w:pPr>
            <w:r>
              <w:rPr>
                <w:rFonts w:ascii="Calibri" w:hAnsi="Calibri"/>
                <w:color w:val="141414"/>
              </w:rPr>
              <w:t>I</w:t>
            </w:r>
          </w:p>
        </w:tc>
        <w:tc>
          <w:tcPr>
            <w:tcW w:type="dxa" w:w="2110"/>
            <w:tcMar>
              <w:top w:w="80" w:type="dxa"/>
              <w:start w:w="120" w:type="dxa"/>
              <w:bottom w:w="80" w:type="dxa"/>
              <w:end w:w="120" w:type="dxa"/>
            </w:tcMar>
            <w:vAlign w:val="top"/>
          </w:tcPr>
          <w:p>
            <w:pPr>
              <w:spacing w:after="0"/>
            </w:pPr>
            <w:r>
              <w:rPr>
                <w:rFonts w:ascii="Calibri" w:hAnsi="Calibri"/>
                <w:color w:val="141414"/>
              </w:rPr>
              <w:t>5</w:t>
            </w:r>
          </w:p>
        </w:tc>
      </w:tr>
      <w:tr>
        <w:tc>
          <w:tcPr>
            <w:tcW w:type="dxa" w:w="800"/>
            <w:tcMar>
              <w:top w:w="80" w:type="dxa"/>
              <w:start w:w="120" w:type="dxa"/>
              <w:bottom w:w="80" w:type="dxa"/>
              <w:end w:w="120" w:type="dxa"/>
            </w:tcMar>
            <w:vAlign w:val="top"/>
          </w:tcPr>
          <w:p>
            <w:pPr>
              <w:spacing w:after="0"/>
            </w:pPr>
            <w:r>
              <w:rPr>
                <w:rFonts w:ascii="Calibri" w:hAnsi="Calibri"/>
                <w:color w:val="141414"/>
              </w:rPr>
              <w:t>1</w:t>
            </w:r>
          </w:p>
        </w:tc>
        <w:tc>
          <w:tcPr>
            <w:tcW w:type="dxa" w:w="1000"/>
            <w:tcMar>
              <w:top w:w="80" w:type="dxa"/>
              <w:start w:w="120" w:type="dxa"/>
              <w:bottom w:w="80" w:type="dxa"/>
              <w:end w:w="120" w:type="dxa"/>
            </w:tcMar>
            <w:vAlign w:val="top"/>
          </w:tcPr>
          <w:p>
            <w:pPr>
              <w:spacing w:after="0"/>
            </w:pPr>
            <w:r>
              <w:rPr>
                <w:rFonts w:ascii="Calibri" w:hAnsi="Calibri"/>
                <w:color w:val="141414"/>
              </w:rPr>
              <w:t>0.370</w:t>
            </w:r>
          </w:p>
        </w:tc>
        <w:tc>
          <w:tcPr>
            <w:tcW w:type="dxa" w:w="3650"/>
            <w:tcMar>
              <w:top w:w="80" w:type="dxa"/>
              <w:start w:w="120" w:type="dxa"/>
              <w:bottom w:w="80" w:type="dxa"/>
              <w:end w:w="120" w:type="dxa"/>
            </w:tcMar>
            <w:vAlign w:val="top"/>
          </w:tcPr>
          <w:p>
            <w:pPr>
              <w:spacing w:after="0"/>
            </w:pPr>
            <w:r>
              <w:rPr>
                <w:rFonts w:ascii="Calibri" w:hAnsi="Calibri"/>
                <w:color w:val="141414"/>
              </w:rPr>
              <w:t>MEC LIII Superficial Multipolar Interneuron</w:t>
            </w:r>
          </w:p>
        </w:tc>
        <w:tc>
          <w:tcPr>
            <w:tcW w:type="dxa" w:w="1000"/>
            <w:tcMar>
              <w:top w:w="80" w:type="dxa"/>
              <w:start w:w="120" w:type="dxa"/>
              <w:bottom w:w="80" w:type="dxa"/>
              <w:end w:w="120" w:type="dxa"/>
            </w:tcMar>
            <w:vAlign w:val="top"/>
          </w:tcPr>
          <w:p>
            <w:pPr>
              <w:spacing w:after="0"/>
            </w:pPr>
            <w:r>
              <w:rPr>
                <w:rFonts w:ascii="Calibri" w:hAnsi="Calibri"/>
                <w:color w:val="141414"/>
              </w:rPr>
              <w:t>MEC</w:t>
            </w:r>
          </w:p>
        </w:tc>
        <w:tc>
          <w:tcPr>
            <w:tcW w:type="dxa" w:w="800"/>
            <w:tcMar>
              <w:top w:w="80" w:type="dxa"/>
              <w:start w:w="120" w:type="dxa"/>
              <w:bottom w:w="80" w:type="dxa"/>
              <w:end w:w="120" w:type="dxa"/>
            </w:tcMar>
            <w:vAlign w:val="top"/>
          </w:tcPr>
          <w:p>
            <w:pPr>
              <w:spacing w:after="0"/>
            </w:pPr>
            <w:r>
              <w:rPr>
                <w:rFonts w:ascii="Calibri" w:hAnsi="Calibri"/>
                <w:color w:val="141414"/>
              </w:rPr>
              <w:t>I</w:t>
            </w:r>
          </w:p>
        </w:tc>
        <w:tc>
          <w:tcPr>
            <w:tcW w:type="dxa" w:w="2110"/>
            <w:tcMar>
              <w:top w:w="80" w:type="dxa"/>
              <w:start w:w="120" w:type="dxa"/>
              <w:bottom w:w="80" w:type="dxa"/>
              <w:end w:w="120" w:type="dxa"/>
            </w:tcMar>
            <w:vAlign w:val="top"/>
          </w:tcPr>
          <w:p>
            <w:pPr>
              <w:spacing w:after="0"/>
            </w:pPr>
            <w:r>
              <w:rPr>
                <w:rFonts w:ascii="Calibri" w:hAnsi="Calibri"/>
                <w:color w:val="141414"/>
              </w:rPr>
              <w:t>4</w:t>
            </w:r>
          </w:p>
        </w:tc>
      </w:tr>
      <w:tr>
        <w:tc>
          <w:tcPr>
            <w:tcW w:type="dxa" w:w="800"/>
            <w:tcMar>
              <w:top w:w="80" w:type="dxa"/>
              <w:start w:w="120" w:type="dxa"/>
              <w:bottom w:w="80" w:type="dxa"/>
              <w:end w:w="120" w:type="dxa"/>
            </w:tcMar>
            <w:vAlign w:val="top"/>
          </w:tcPr>
          <w:p>
            <w:pPr>
              <w:spacing w:after="0"/>
            </w:pPr>
            <w:r>
              <w:rPr>
                <w:rFonts w:ascii="Calibri" w:hAnsi="Calibri"/>
                <w:color w:val="141414"/>
              </w:rPr>
              <w:t>2</w:t>
            </w:r>
          </w:p>
        </w:tc>
        <w:tc>
          <w:tcPr>
            <w:tcW w:type="dxa" w:w="1000"/>
            <w:tcMar>
              <w:top w:w="80" w:type="dxa"/>
              <w:start w:w="120" w:type="dxa"/>
              <w:bottom w:w="80" w:type="dxa"/>
              <w:end w:w="120" w:type="dxa"/>
            </w:tcMar>
            <w:vAlign w:val="top"/>
          </w:tcPr>
          <w:p>
            <w:pPr>
              <w:spacing w:after="0"/>
            </w:pPr>
            <w:r>
              <w:rPr>
                <w:rFonts w:ascii="Calibri" w:hAnsi="Calibri"/>
                <w:color w:val="141414"/>
              </w:rPr>
              <w:t>0.311</w:t>
            </w:r>
          </w:p>
        </w:tc>
        <w:tc>
          <w:tcPr>
            <w:tcW w:type="dxa" w:w="3650"/>
            <w:tcMar>
              <w:top w:w="80" w:type="dxa"/>
              <w:start w:w="120" w:type="dxa"/>
              <w:bottom w:w="80" w:type="dxa"/>
              <w:end w:w="120" w:type="dxa"/>
            </w:tcMar>
            <w:vAlign w:val="top"/>
          </w:tcPr>
          <w:p>
            <w:pPr>
              <w:spacing w:after="0"/>
            </w:pPr>
            <w:r>
              <w:rPr>
                <w:rFonts w:ascii="Calibri" w:hAnsi="Calibri"/>
                <w:color w:val="141414"/>
              </w:rPr>
              <w:t>DG AIPRIM</w:t>
            </w:r>
          </w:p>
        </w:tc>
        <w:tc>
          <w:tcPr>
            <w:tcW w:type="dxa" w:w="1000"/>
            <w:tcMar>
              <w:top w:w="80" w:type="dxa"/>
              <w:start w:w="120" w:type="dxa"/>
              <w:bottom w:w="80" w:type="dxa"/>
              <w:end w:w="120" w:type="dxa"/>
            </w:tcMar>
            <w:vAlign w:val="top"/>
          </w:tcPr>
          <w:p>
            <w:pPr>
              <w:spacing w:after="0"/>
            </w:pPr>
            <w:r>
              <w:rPr>
                <w:rFonts w:ascii="Calibri" w:hAnsi="Calibri"/>
                <w:color w:val="141414"/>
              </w:rPr>
              <w:t>DG</w:t>
            </w:r>
          </w:p>
        </w:tc>
        <w:tc>
          <w:tcPr>
            <w:tcW w:type="dxa" w:w="800"/>
            <w:tcMar>
              <w:top w:w="80" w:type="dxa"/>
              <w:start w:w="120" w:type="dxa"/>
              <w:bottom w:w="80" w:type="dxa"/>
              <w:end w:w="120" w:type="dxa"/>
            </w:tcMar>
            <w:vAlign w:val="top"/>
          </w:tcPr>
          <w:p>
            <w:pPr>
              <w:spacing w:after="0"/>
            </w:pPr>
            <w:r>
              <w:rPr>
                <w:rFonts w:ascii="Calibri" w:hAnsi="Calibri"/>
                <w:color w:val="141414"/>
              </w:rPr>
              <w:t>I</w:t>
            </w:r>
          </w:p>
        </w:tc>
        <w:tc>
          <w:tcPr>
            <w:tcW w:type="dxa" w:w="2110"/>
            <w:tcMar>
              <w:top w:w="80" w:type="dxa"/>
              <w:start w:w="120" w:type="dxa"/>
              <w:bottom w:w="80" w:type="dxa"/>
              <w:end w:w="120" w:type="dxa"/>
            </w:tcMar>
            <w:vAlign w:val="top"/>
          </w:tcPr>
          <w:p>
            <w:pPr>
              <w:spacing w:after="0"/>
            </w:pPr>
            <w:r>
              <w:rPr>
                <w:rFonts w:ascii="Calibri" w:hAnsi="Calibri"/>
                <w:color w:val="141414"/>
              </w:rPr>
              <w:t>4</w:t>
            </w:r>
          </w:p>
        </w:tc>
      </w:tr>
      <w:tr>
        <w:tc>
          <w:tcPr>
            <w:tcW w:type="dxa" w:w="800"/>
            <w:tcMar>
              <w:top w:w="80" w:type="dxa"/>
              <w:start w:w="120" w:type="dxa"/>
              <w:bottom w:w="80" w:type="dxa"/>
              <w:end w:w="120" w:type="dxa"/>
            </w:tcMar>
            <w:vAlign w:val="top"/>
          </w:tcPr>
          <w:p>
            <w:pPr>
              <w:spacing w:after="0"/>
            </w:pPr>
            <w:r>
              <w:rPr>
                <w:rFonts w:ascii="Calibri" w:hAnsi="Calibri"/>
                <w:color w:val="141414"/>
              </w:rPr>
              <w:t>3</w:t>
            </w:r>
          </w:p>
        </w:tc>
        <w:tc>
          <w:tcPr>
            <w:tcW w:type="dxa" w:w="1000"/>
            <w:tcMar>
              <w:top w:w="80" w:type="dxa"/>
              <w:start w:w="120" w:type="dxa"/>
              <w:bottom w:w="80" w:type="dxa"/>
              <w:end w:w="120" w:type="dxa"/>
            </w:tcMar>
            <w:vAlign w:val="top"/>
          </w:tcPr>
          <w:p>
            <w:pPr>
              <w:spacing w:after="0"/>
            </w:pPr>
            <w:r>
              <w:rPr>
                <w:rFonts w:ascii="Calibri" w:hAnsi="Calibri"/>
                <w:color w:val="141414"/>
              </w:rPr>
              <w:t>0.311</w:t>
            </w:r>
          </w:p>
        </w:tc>
        <w:tc>
          <w:tcPr>
            <w:tcW w:type="dxa" w:w="3650"/>
            <w:tcMar>
              <w:top w:w="80" w:type="dxa"/>
              <w:start w:w="120" w:type="dxa"/>
              <w:bottom w:w="80" w:type="dxa"/>
              <w:end w:w="120" w:type="dxa"/>
            </w:tcMar>
            <w:vAlign w:val="top"/>
          </w:tcPr>
          <w:p>
            <w:pPr>
              <w:spacing w:after="0"/>
            </w:pPr>
            <w:r>
              <w:rPr>
                <w:rFonts w:ascii="Calibri" w:hAnsi="Calibri"/>
                <w:color w:val="141414"/>
              </w:rPr>
              <w:t>CA1 Trilaminar</w:t>
            </w:r>
          </w:p>
        </w:tc>
        <w:tc>
          <w:tcPr>
            <w:tcW w:type="dxa" w:w="1000"/>
            <w:tcMar>
              <w:top w:w="80" w:type="dxa"/>
              <w:start w:w="120" w:type="dxa"/>
              <w:bottom w:w="80" w:type="dxa"/>
              <w:end w:w="120" w:type="dxa"/>
            </w:tcMar>
            <w:vAlign w:val="top"/>
          </w:tcPr>
          <w:p>
            <w:pPr>
              <w:spacing w:after="0"/>
            </w:pPr>
            <w:r>
              <w:rPr>
                <w:rFonts w:ascii="Calibri" w:hAnsi="Calibri"/>
                <w:color w:val="141414"/>
              </w:rPr>
              <w:t>CA1</w:t>
            </w:r>
          </w:p>
        </w:tc>
        <w:tc>
          <w:tcPr>
            <w:tcW w:type="dxa" w:w="800"/>
            <w:tcMar>
              <w:top w:w="80" w:type="dxa"/>
              <w:start w:w="120" w:type="dxa"/>
              <w:bottom w:w="80" w:type="dxa"/>
              <w:end w:w="120" w:type="dxa"/>
            </w:tcMar>
            <w:vAlign w:val="top"/>
          </w:tcPr>
          <w:p>
            <w:pPr>
              <w:spacing w:after="0"/>
            </w:pPr>
            <w:r>
              <w:rPr>
                <w:rFonts w:ascii="Calibri" w:hAnsi="Calibri"/>
                <w:color w:val="141414"/>
              </w:rPr>
              <w:t>I</w:t>
            </w:r>
          </w:p>
        </w:tc>
        <w:tc>
          <w:tcPr>
            <w:tcW w:type="dxa" w:w="2110"/>
            <w:tcMar>
              <w:top w:w="80" w:type="dxa"/>
              <w:start w:w="120" w:type="dxa"/>
              <w:bottom w:w="80" w:type="dxa"/>
              <w:end w:w="120" w:type="dxa"/>
            </w:tcMar>
            <w:vAlign w:val="top"/>
          </w:tcPr>
          <w:p>
            <w:pPr>
              <w:spacing w:after="0"/>
            </w:pPr>
            <w:r>
              <w:rPr>
                <w:rFonts w:ascii="Calibri" w:hAnsi="Calibri"/>
                <w:color w:val="141414"/>
              </w:rPr>
              <w:t>6</w:t>
            </w:r>
          </w:p>
        </w:tc>
      </w:tr>
      <w:tr>
        <w:tc>
          <w:tcPr>
            <w:tcW w:type="dxa" w:w="800"/>
            <w:tcMar>
              <w:top w:w="80" w:type="dxa"/>
              <w:start w:w="120" w:type="dxa"/>
              <w:bottom w:w="80" w:type="dxa"/>
              <w:end w:w="120" w:type="dxa"/>
            </w:tcMar>
            <w:vAlign w:val="top"/>
          </w:tcPr>
          <w:p>
            <w:pPr>
              <w:spacing w:after="0"/>
            </w:pPr>
            <w:r>
              <w:rPr>
                <w:rFonts w:ascii="Calibri" w:hAnsi="Calibri"/>
                <w:color w:val="141414"/>
              </w:rPr>
              <w:t>4</w:t>
            </w:r>
          </w:p>
        </w:tc>
        <w:tc>
          <w:tcPr>
            <w:tcW w:type="dxa" w:w="1000"/>
            <w:tcMar>
              <w:top w:w="80" w:type="dxa"/>
              <w:start w:w="120" w:type="dxa"/>
              <w:bottom w:w="80" w:type="dxa"/>
              <w:end w:w="120" w:type="dxa"/>
            </w:tcMar>
            <w:vAlign w:val="top"/>
          </w:tcPr>
          <w:p>
            <w:pPr>
              <w:spacing w:after="0"/>
            </w:pPr>
            <w:r>
              <w:rPr>
                <w:rFonts w:ascii="Calibri" w:hAnsi="Calibri"/>
                <w:color w:val="141414"/>
              </w:rPr>
              <w:t>0.310</w:t>
            </w:r>
          </w:p>
        </w:tc>
        <w:tc>
          <w:tcPr>
            <w:tcW w:type="dxa" w:w="3650"/>
            <w:tcMar>
              <w:top w:w="80" w:type="dxa"/>
              <w:start w:w="120" w:type="dxa"/>
              <w:bottom w:w="80" w:type="dxa"/>
              <w:end w:w="120" w:type="dxa"/>
            </w:tcMar>
            <w:vAlign w:val="top"/>
          </w:tcPr>
          <w:p>
            <w:pPr>
              <w:spacing w:after="0"/>
            </w:pPr>
            <w:r>
              <w:rPr>
                <w:rFonts w:ascii="Calibri" w:hAnsi="Calibri"/>
                <w:color w:val="141414"/>
              </w:rPr>
              <w:t>DG HICAP</w:t>
            </w:r>
          </w:p>
        </w:tc>
        <w:tc>
          <w:tcPr>
            <w:tcW w:type="dxa" w:w="1000"/>
            <w:tcMar>
              <w:top w:w="80" w:type="dxa"/>
              <w:start w:w="120" w:type="dxa"/>
              <w:bottom w:w="80" w:type="dxa"/>
              <w:end w:w="120" w:type="dxa"/>
            </w:tcMar>
            <w:vAlign w:val="top"/>
          </w:tcPr>
          <w:p>
            <w:pPr>
              <w:spacing w:after="0"/>
            </w:pPr>
            <w:r>
              <w:rPr>
                <w:rFonts w:ascii="Calibri" w:hAnsi="Calibri"/>
                <w:color w:val="141414"/>
              </w:rPr>
              <w:t>DG</w:t>
            </w:r>
          </w:p>
        </w:tc>
        <w:tc>
          <w:tcPr>
            <w:tcW w:type="dxa" w:w="800"/>
            <w:tcMar>
              <w:top w:w="80" w:type="dxa"/>
              <w:start w:w="120" w:type="dxa"/>
              <w:bottom w:w="80" w:type="dxa"/>
              <w:end w:w="120" w:type="dxa"/>
            </w:tcMar>
            <w:vAlign w:val="top"/>
          </w:tcPr>
          <w:p>
            <w:pPr>
              <w:spacing w:after="0"/>
            </w:pPr>
            <w:r>
              <w:rPr>
                <w:rFonts w:ascii="Calibri" w:hAnsi="Calibri"/>
                <w:color w:val="141414"/>
              </w:rPr>
              <w:t>I</w:t>
            </w:r>
          </w:p>
        </w:tc>
        <w:tc>
          <w:tcPr>
            <w:tcW w:type="dxa" w:w="2110"/>
            <w:tcMar>
              <w:top w:w="80" w:type="dxa"/>
              <w:start w:w="120" w:type="dxa"/>
              <w:bottom w:w="80" w:type="dxa"/>
              <w:end w:w="120" w:type="dxa"/>
            </w:tcMar>
            <w:vAlign w:val="top"/>
          </w:tcPr>
          <w:p>
            <w:pPr>
              <w:spacing w:after="0"/>
            </w:pPr>
            <w:r>
              <w:rPr>
                <w:rFonts w:ascii="Calibri" w:hAnsi="Calibri"/>
                <w:color w:val="141414"/>
              </w:rPr>
              <w:t>5</w:t>
            </w:r>
          </w:p>
        </w:tc>
      </w:tr>
      <w:tr>
        <w:tc>
          <w:tcPr>
            <w:tcW w:type="dxa" w:w="800"/>
            <w:tcMar>
              <w:top w:w="80" w:type="dxa"/>
              <w:start w:w="120" w:type="dxa"/>
              <w:bottom w:w="80" w:type="dxa"/>
              <w:end w:w="120" w:type="dxa"/>
            </w:tcMar>
            <w:vAlign w:val="top"/>
          </w:tcPr>
          <w:p>
            <w:pPr>
              <w:spacing w:after="0"/>
            </w:pPr>
            <w:r>
              <w:rPr>
                <w:rFonts w:ascii="Calibri" w:hAnsi="Calibri"/>
                <w:color w:val="141414"/>
              </w:rPr>
              <w:t>5</w:t>
            </w:r>
          </w:p>
        </w:tc>
        <w:tc>
          <w:tcPr>
            <w:tcW w:type="dxa" w:w="1000"/>
            <w:tcMar>
              <w:top w:w="80" w:type="dxa"/>
              <w:start w:w="120" w:type="dxa"/>
              <w:bottom w:w="80" w:type="dxa"/>
              <w:end w:w="120" w:type="dxa"/>
            </w:tcMar>
            <w:vAlign w:val="top"/>
          </w:tcPr>
          <w:p>
            <w:pPr>
              <w:spacing w:after="0"/>
            </w:pPr>
            <w:r>
              <w:rPr>
                <w:rFonts w:ascii="Calibri" w:hAnsi="Calibri"/>
                <w:color w:val="141414"/>
              </w:rPr>
              <w:t>0.182</w:t>
            </w:r>
          </w:p>
        </w:tc>
        <w:tc>
          <w:tcPr>
            <w:tcW w:type="dxa" w:w="3650"/>
            <w:tcMar>
              <w:top w:w="80" w:type="dxa"/>
              <w:start w:w="120" w:type="dxa"/>
              <w:bottom w:w="80" w:type="dxa"/>
              <w:end w:w="120" w:type="dxa"/>
            </w:tcMar>
            <w:vAlign w:val="top"/>
          </w:tcPr>
          <w:p>
            <w:pPr>
              <w:spacing w:after="0"/>
            </w:pPr>
            <w:r>
              <w:rPr>
                <w:rFonts w:ascii="Calibri" w:hAnsi="Calibri"/>
                <w:color w:val="141414"/>
              </w:rPr>
              <w:t>CA1 Perforant Path Associated</w:t>
            </w:r>
          </w:p>
        </w:tc>
        <w:tc>
          <w:tcPr>
            <w:tcW w:type="dxa" w:w="1000"/>
            <w:tcMar>
              <w:top w:w="80" w:type="dxa"/>
              <w:start w:w="120" w:type="dxa"/>
              <w:bottom w:w="80" w:type="dxa"/>
              <w:end w:w="120" w:type="dxa"/>
            </w:tcMar>
            <w:vAlign w:val="top"/>
          </w:tcPr>
          <w:p>
            <w:pPr>
              <w:spacing w:after="0"/>
            </w:pPr>
            <w:r>
              <w:rPr>
                <w:rFonts w:ascii="Calibri" w:hAnsi="Calibri"/>
                <w:color w:val="141414"/>
              </w:rPr>
              <w:t>CA1</w:t>
            </w:r>
          </w:p>
        </w:tc>
        <w:tc>
          <w:tcPr>
            <w:tcW w:type="dxa" w:w="800"/>
            <w:tcMar>
              <w:top w:w="80" w:type="dxa"/>
              <w:start w:w="120" w:type="dxa"/>
              <w:bottom w:w="80" w:type="dxa"/>
              <w:end w:w="120" w:type="dxa"/>
            </w:tcMar>
            <w:vAlign w:val="top"/>
          </w:tcPr>
          <w:p>
            <w:pPr>
              <w:spacing w:after="0"/>
            </w:pPr>
            <w:r>
              <w:rPr>
                <w:rFonts w:ascii="Calibri" w:hAnsi="Calibri"/>
                <w:color w:val="141414"/>
              </w:rPr>
              <w:t>I</w:t>
            </w:r>
          </w:p>
        </w:tc>
        <w:tc>
          <w:tcPr>
            <w:tcW w:type="dxa" w:w="2110"/>
            <w:tcMar>
              <w:top w:w="80" w:type="dxa"/>
              <w:start w:w="120" w:type="dxa"/>
              <w:bottom w:w="80" w:type="dxa"/>
              <w:end w:w="120" w:type="dxa"/>
            </w:tcMar>
            <w:vAlign w:val="top"/>
          </w:tcPr>
          <w:p>
            <w:pPr>
              <w:spacing w:after="0"/>
            </w:pPr>
            <w:r>
              <w:rPr>
                <w:rFonts w:ascii="Calibri" w:hAnsi="Calibri"/>
                <w:color w:val="141414"/>
              </w:rPr>
              <w:t>4</w:t>
            </w:r>
          </w:p>
        </w:tc>
      </w:tr>
    </w:tbl>
    <w:p>
      <w:pPr>
        <w:spacing w:after="40"/>
      </w:pPr>
    </w:p>
    <w:p>
      <w:pPr>
        <w:spacing w:before="0" w:after="120" w:line="264" w:lineRule="auto"/>
      </w:pPr>
      <w:r>
        <w:rPr>
          <w:rFonts w:ascii="Calibri" w:hAnsi="Calibri"/>
          <w:color w:val="141414"/>
        </w:rPr>
        <w:t>A recurring pattern in the saved summaries is that many high-loading modes are dominated by CA1 and inhibitory cell classes. That does not mean the network is purely inhibitory; rather, inhibitory classes often have large modal participation in the normalized dynamics.</w:t>
      </w:r>
    </w:p>
    <w:p>
      <w:pPr>
        <w:pStyle w:val="Heading2"/>
        <w:spacing w:before="240" w:after="120" w:line="264" w:lineRule="auto"/>
      </w:pPr>
      <w:r>
        <w:rPr>
          <w:rFonts w:ascii="Calibri" w:hAnsi="Calibri"/>
          <w:b/>
          <w:i w:val="0"/>
          <w:color w:val="2E74B5"/>
          <w:sz w:val="26"/>
        </w:rPr>
        <w:t>Eigenmodes and left/right eigenvectors</w:t>
      </w:r>
    </w:p>
    <w:p>
      <w:pPr>
        <w:spacing w:before="0" w:after="120" w:line="264" w:lineRule="auto"/>
      </w:pPr>
      <w:r>
        <w:rPr>
          <w:rFonts w:ascii="Calibri" w:hAnsi="Calibri"/>
          <w:b w:val="0"/>
          <w:i w:val="0"/>
          <w:color w:val="141414"/>
          <w:sz w:val="22"/>
        </w:rPr>
        <w:t>Yes: the project does include notebooks that look directly at eigenmodes and at the distinction between Schur vectors, right eigenvectors, and left eigenvectors. The core notebook treats Schur vectors as stable orthonormal modal coordinates, then computes true eigenvectors separately when the question is about a genuine eigenmode of the state matrix.</w:t>
      </w:r>
    </w:p>
    <w:p>
      <w:pPr>
        <w:spacing w:before="0" w:after="120" w:line="264" w:lineRule="auto"/>
      </w:pPr>
      <w:r>
        <w:rPr>
          <w:rFonts w:ascii="Calibri" w:hAnsi="Calibri"/>
          <w:b w:val="0"/>
          <w:i w:val="0"/>
          <w:color w:val="141414"/>
          <w:sz w:val="22"/>
        </w:rPr>
        <w:t>For interpretation, the right eigenvector is the state-space activity pattern associated with an eigenvalue, while the left eigenvector is the action/readout direction that measures sensitivity or projection onto that mode. This distinction is important because non-normal matrices can have strongly different right and left modal structure; relying only on right eigenvectors or only on Schur-vector loadings can miss how a perturbation is read out by the system.</w:t>
      </w:r>
    </w:p>
    <w:tbl>
      <w:tblPr>
        <w:tblStyle w:val="TableGrid"/>
        <w:tblW w:type="dxa" w:w="9360"/>
        <w:jc w:val="left"/>
        <w:tblLayout w:type="fixed"/>
        <w:tblLook w:firstColumn="1" w:firstRow="1" w:lastColumn="0" w:lastRow="0" w:noHBand="0" w:noVBand="1" w:val="04A0"/>
        <w:tblInd w:w="120" w:type="dxa"/>
      </w:tblPr>
      <w:tblGrid>
        <w:gridCol w:w="2550"/>
        <w:gridCol w:w="3100"/>
        <w:gridCol w:w="3710"/>
      </w:tblGrid>
      <w:tr>
        <w:tc>
          <w:tcPr>
            <w:tcW w:type="dxa" w:w="2550"/>
            <w:shd w:fill="F2F4F7"/>
            <w:tcMar>
              <w:top w:w="80" w:type="dxa"/>
              <w:start w:w="120" w:type="dxa"/>
              <w:bottom w:w="80" w:type="dxa"/>
              <w:end w:w="120" w:type="dxa"/>
            </w:tcMar>
            <w:vAlign w:val="top"/>
          </w:tcPr>
          <w:p>
            <w:pPr>
              <w:spacing w:after="0" w:line="252" w:lineRule="auto"/>
            </w:pPr>
            <w:r/>
            <w:r>
              <w:rPr>
                <w:rFonts w:ascii="Calibri" w:hAnsi="Calibri"/>
                <w:b/>
                <w:i w:val="0"/>
                <w:color w:val="141414"/>
                <w:sz w:val="19"/>
              </w:rPr>
              <w:t>Notebook</w:t>
            </w:r>
          </w:p>
        </w:tc>
        <w:tc>
          <w:tcPr>
            <w:tcW w:type="dxa" w:w="3100"/>
            <w:shd w:fill="F2F4F7"/>
            <w:tcMar>
              <w:top w:w="80" w:type="dxa"/>
              <w:start w:w="120" w:type="dxa"/>
              <w:bottom w:w="80" w:type="dxa"/>
              <w:end w:w="120" w:type="dxa"/>
            </w:tcMar>
            <w:vAlign w:val="top"/>
          </w:tcPr>
          <w:p>
            <w:pPr>
              <w:spacing w:after="0" w:line="252" w:lineRule="auto"/>
            </w:pPr>
            <w:r/>
            <w:r>
              <w:rPr>
                <w:rFonts w:ascii="Calibri" w:hAnsi="Calibri"/>
                <w:b/>
                <w:i w:val="0"/>
                <w:color w:val="141414"/>
                <w:sz w:val="19"/>
              </w:rPr>
              <w:t>Relevant section(s)</w:t>
            </w:r>
          </w:p>
        </w:tc>
        <w:tc>
          <w:tcPr>
            <w:tcW w:type="dxa" w:w="3710"/>
            <w:shd w:fill="F2F4F7"/>
            <w:tcMar>
              <w:top w:w="80" w:type="dxa"/>
              <w:start w:w="120" w:type="dxa"/>
              <w:bottom w:w="80" w:type="dxa"/>
              <w:end w:w="120" w:type="dxa"/>
            </w:tcMar>
            <w:vAlign w:val="top"/>
          </w:tcPr>
          <w:p>
            <w:pPr>
              <w:spacing w:after="0" w:line="252" w:lineRule="auto"/>
            </w:pPr>
            <w:r/>
            <w:r>
              <w:rPr>
                <w:rFonts w:ascii="Calibri" w:hAnsi="Calibri"/>
                <w:b/>
                <w:i w:val="0"/>
                <w:color w:val="141414"/>
                <w:sz w:val="19"/>
              </w:rPr>
              <w:t>What to look for</w:t>
            </w:r>
          </w:p>
        </w:tc>
      </w:tr>
      <w:tr>
        <w:tc>
          <w:tcPr>
            <w:tcW w:type="dxa" w:w="2550"/>
            <w:tcMar>
              <w:top w:w="80" w:type="dxa"/>
              <w:start w:w="120" w:type="dxa"/>
              <w:bottom w:w="80" w:type="dxa"/>
              <w:end w:w="120" w:type="dxa"/>
            </w:tcMar>
            <w:vAlign w:val="top"/>
          </w:tcPr>
          <w:p>
            <w:pPr>
              <w:spacing w:after="0" w:line="252" w:lineRule="auto"/>
            </w:pPr>
            <w:r/>
            <w:r>
              <w:rPr>
                <w:rFonts w:ascii="Calibri" w:hAnsi="Calibri"/>
                <w:b w:val="0"/>
                <w:i w:val="0"/>
                <w:color w:val="141414"/>
                <w:sz w:val="18"/>
              </w:rPr>
              <w:t>01_schur_eigenmodes.ipynb</w:t>
            </w:r>
          </w:p>
        </w:tc>
        <w:tc>
          <w:tcPr>
            <w:tcW w:type="dxa" w:w="3100"/>
            <w:tcMar>
              <w:top w:w="80" w:type="dxa"/>
              <w:start w:w="120" w:type="dxa"/>
              <w:bottom w:w="80" w:type="dxa"/>
              <w:end w:w="120" w:type="dxa"/>
            </w:tcMar>
            <w:vAlign w:val="top"/>
          </w:tcPr>
          <w:p>
            <w:pPr>
              <w:spacing w:after="0" w:line="252" w:lineRule="auto"/>
            </w:pPr>
            <w:r/>
            <w:r>
              <w:rPr>
                <w:rFonts w:ascii="Calibri" w:hAnsi="Calibri"/>
                <w:b w:val="0"/>
                <w:i w:val="0"/>
                <w:color w:val="141414"/>
                <w:sz w:val="18"/>
              </w:rPr>
              <w:t>Section 3, Schur Decomposition; Section 4, Visualizing the Eigenvalue Spectrum; Section 6, Dominant Eigenvalue and True Dominant Eigenvector; Section 8, Manual Coupling Trace</w:t>
            </w:r>
          </w:p>
        </w:tc>
        <w:tc>
          <w:tcPr>
            <w:tcW w:type="dxa" w:w="3710"/>
            <w:tcMar>
              <w:top w:w="80" w:type="dxa"/>
              <w:start w:w="120" w:type="dxa"/>
              <w:bottom w:w="80" w:type="dxa"/>
              <w:end w:w="120" w:type="dxa"/>
            </w:tcMar>
            <w:vAlign w:val="top"/>
          </w:tcPr>
          <w:p>
            <w:pPr>
              <w:spacing w:after="0" w:line="252" w:lineRule="auto"/>
            </w:pPr>
            <w:r/>
            <w:r>
              <w:rPr>
                <w:rFonts w:ascii="Calibri" w:hAnsi="Calibri"/>
                <w:b w:val="0"/>
                <w:i w:val="0"/>
                <w:color w:val="141414"/>
                <w:sz w:val="18"/>
              </w:rPr>
              <w:t>Defines Schur vectors vs. true eigenvectors, plots eigenvalues, computes the dominant eigenvalue/eigenvector, and uses left-vector/action labels in coupling traces.</w:t>
            </w:r>
          </w:p>
        </w:tc>
      </w:tr>
      <w:tr>
        <w:tc>
          <w:tcPr>
            <w:tcW w:type="dxa" w:w="2550"/>
            <w:tcMar>
              <w:top w:w="80" w:type="dxa"/>
              <w:start w:w="120" w:type="dxa"/>
              <w:bottom w:w="80" w:type="dxa"/>
              <w:end w:w="120" w:type="dxa"/>
            </w:tcMar>
            <w:vAlign w:val="top"/>
          </w:tcPr>
          <w:p>
            <w:pPr>
              <w:spacing w:after="0" w:line="252" w:lineRule="auto"/>
            </w:pPr>
            <w:r/>
            <w:r>
              <w:rPr>
                <w:rFonts w:ascii="Calibri" w:hAnsi="Calibri"/>
                <w:b w:val="0"/>
                <w:i w:val="0"/>
                <w:color w:val="141414"/>
                <w:sz w:val="18"/>
              </w:rPr>
              <w:t>02_schur_eigenmodes_compare.ipynb</w:t>
            </w:r>
          </w:p>
        </w:tc>
        <w:tc>
          <w:tcPr>
            <w:tcW w:type="dxa" w:w="3100"/>
            <w:tcMar>
              <w:top w:w="80" w:type="dxa"/>
              <w:start w:w="120" w:type="dxa"/>
              <w:bottom w:w="80" w:type="dxa"/>
              <w:end w:w="120" w:type="dxa"/>
            </w:tcMar>
            <w:vAlign w:val="top"/>
          </w:tcPr>
          <w:p>
            <w:pPr>
              <w:spacing w:after="0" w:line="252" w:lineRule="auto"/>
            </w:pPr>
            <w:r/>
            <w:r>
              <w:rPr>
                <w:rFonts w:ascii="Calibri" w:hAnsi="Calibri"/>
                <w:b w:val="0"/>
                <w:i w:val="0"/>
                <w:color w:val="141414"/>
                <w:sz w:val="18"/>
              </w:rPr>
              <w:t>Run the matched comparison; Eigenvalue spectra; Upstream-mode summaries</w:t>
            </w:r>
          </w:p>
        </w:tc>
        <w:tc>
          <w:tcPr>
            <w:tcW w:type="dxa" w:w="3710"/>
            <w:tcMar>
              <w:top w:w="80" w:type="dxa"/>
              <w:start w:w="120" w:type="dxa"/>
              <w:bottom w:w="80" w:type="dxa"/>
              <w:end w:w="120" w:type="dxa"/>
            </w:tcMar>
            <w:vAlign w:val="top"/>
          </w:tcPr>
          <w:p>
            <w:pPr>
              <w:spacing w:after="0" w:line="252" w:lineRule="auto"/>
            </w:pPr>
            <w:r/>
            <w:r>
              <w:rPr>
                <w:rFonts w:ascii="Calibri" w:hAnsi="Calibri"/>
                <w:b w:val="0"/>
                <w:i w:val="0"/>
                <w:color w:val="141414"/>
                <w:sz w:val="18"/>
              </w:rPr>
              <w:t>Repeats the eigenmode/Schur analysis for with-self and no-self variants and reports dominant eigenvector overlap.</w:t>
            </w:r>
          </w:p>
        </w:tc>
      </w:tr>
      <w:tr>
        <w:tc>
          <w:tcPr>
            <w:tcW w:type="dxa" w:w="2550"/>
            <w:tcMar>
              <w:top w:w="80" w:type="dxa"/>
              <w:start w:w="120" w:type="dxa"/>
              <w:bottom w:w="80" w:type="dxa"/>
              <w:end w:w="120" w:type="dxa"/>
            </w:tcMar>
            <w:vAlign w:val="top"/>
          </w:tcPr>
          <w:p>
            <w:pPr>
              <w:spacing w:after="0" w:line="252" w:lineRule="auto"/>
            </w:pPr>
            <w:r/>
            <w:r>
              <w:rPr>
                <w:rFonts w:ascii="Calibri" w:hAnsi="Calibri"/>
                <w:b w:val="0"/>
                <w:i w:val="0"/>
                <w:color w:val="141414"/>
                <w:sz w:val="18"/>
              </w:rPr>
              <w:t>individual_analyses/070826_mij_schur_wself.ipynb and 070826_mij_schur_noself.ipynb</w:t>
            </w:r>
          </w:p>
        </w:tc>
        <w:tc>
          <w:tcPr>
            <w:tcW w:type="dxa" w:w="3100"/>
            <w:tcMar>
              <w:top w:w="80" w:type="dxa"/>
              <w:start w:w="120" w:type="dxa"/>
              <w:bottom w:w="80" w:type="dxa"/>
              <w:end w:w="120" w:type="dxa"/>
            </w:tcMar>
            <w:vAlign w:val="top"/>
          </w:tcPr>
          <w:p>
            <w:pPr>
              <w:spacing w:after="0" w:line="252" w:lineRule="auto"/>
            </w:pPr>
            <w:r/>
            <w:r>
              <w:rPr>
                <w:rFonts w:ascii="Calibri" w:hAnsi="Calibri"/>
                <w:b w:val="0"/>
                <w:i w:val="0"/>
                <w:color w:val="141414"/>
                <w:sz w:val="18"/>
              </w:rPr>
              <w:t>Section 6, Dominant Eigenvalue and True Dominant Eigenvector; Section 8, Manual Coupling Trace</w:t>
            </w:r>
          </w:p>
        </w:tc>
        <w:tc>
          <w:tcPr>
            <w:tcW w:type="dxa" w:w="3710"/>
            <w:tcMar>
              <w:top w:w="80" w:type="dxa"/>
              <w:start w:w="120" w:type="dxa"/>
              <w:bottom w:w="80" w:type="dxa"/>
              <w:end w:w="120" w:type="dxa"/>
            </w:tcMar>
            <w:vAlign w:val="top"/>
          </w:tcPr>
          <w:p>
            <w:pPr>
              <w:spacing w:after="0" w:line="252" w:lineRule="auto"/>
            </w:pPr>
            <w:r/>
            <w:r>
              <w:rPr>
                <w:rFonts w:ascii="Calibri" w:hAnsi="Calibri"/>
                <w:b w:val="0"/>
                <w:i w:val="0"/>
                <w:color w:val="141414"/>
                <w:sz w:val="18"/>
              </w:rPr>
              <w:t>Earlier single-condition notebooks for checking the with-self and no-self eigenmode interpretations independently.</w:t>
            </w:r>
          </w:p>
        </w:tc>
      </w:tr>
      <w:tr>
        <w:tc>
          <w:tcPr>
            <w:tcW w:type="dxa" w:w="2550"/>
            <w:tcMar>
              <w:top w:w="80" w:type="dxa"/>
              <w:start w:w="120" w:type="dxa"/>
              <w:bottom w:w="80" w:type="dxa"/>
              <w:end w:w="120" w:type="dxa"/>
            </w:tcMar>
            <w:vAlign w:val="top"/>
          </w:tcPr>
          <w:p>
            <w:pPr>
              <w:spacing w:after="0" w:line="252" w:lineRule="auto"/>
            </w:pPr>
            <w:r/>
            <w:r>
              <w:rPr>
                <w:rFonts w:ascii="Calibri" w:hAnsi="Calibri"/>
                <w:b w:val="0"/>
                <w:i w:val="0"/>
                <w:color w:val="141414"/>
                <w:sz w:val="18"/>
              </w:rPr>
              <w:t>archive/eigenmode_analysis_mij_schur_corrected_left_action.ipynb</w:t>
            </w:r>
          </w:p>
        </w:tc>
        <w:tc>
          <w:tcPr>
            <w:tcW w:type="dxa" w:w="3100"/>
            <w:tcMar>
              <w:top w:w="80" w:type="dxa"/>
              <w:start w:w="120" w:type="dxa"/>
              <w:bottom w:w="80" w:type="dxa"/>
              <w:end w:w="120" w:type="dxa"/>
            </w:tcMar>
            <w:vAlign w:val="top"/>
          </w:tcPr>
          <w:p>
            <w:pPr>
              <w:spacing w:after="0" w:line="252" w:lineRule="auto"/>
            </w:pPr>
            <w:r/>
            <w:r>
              <w:rPr>
                <w:rFonts w:ascii="Calibri" w:hAnsi="Calibri"/>
                <w:b w:val="0"/>
                <w:i w:val="0"/>
                <w:color w:val="141414"/>
                <w:sz w:val="18"/>
              </w:rPr>
              <w:t>Dominant Eigenvalue and True Dominant Eigenvector; Manual Coupling Trace</w:t>
            </w:r>
          </w:p>
        </w:tc>
        <w:tc>
          <w:tcPr>
            <w:tcW w:type="dxa" w:w="3710"/>
            <w:tcMar>
              <w:top w:w="80" w:type="dxa"/>
              <w:start w:w="120" w:type="dxa"/>
              <w:bottom w:w="80" w:type="dxa"/>
              <w:end w:w="120" w:type="dxa"/>
            </w:tcMar>
            <w:vAlign w:val="top"/>
          </w:tcPr>
          <w:p>
            <w:pPr>
              <w:spacing w:after="0" w:line="252" w:lineRule="auto"/>
            </w:pPr>
            <w:r/>
            <w:r>
              <w:rPr>
                <w:rFonts w:ascii="Calibri" w:hAnsi="Calibri"/>
                <w:b w:val="0"/>
                <w:i w:val="0"/>
                <w:color w:val="141414"/>
                <w:sz w:val="18"/>
              </w:rPr>
              <w:t>Prior corrected left-action version; useful if you want to trace how the left-vector/action interpretation evolved.</w:t>
            </w:r>
          </w:p>
        </w:tc>
      </w:tr>
    </w:tbl>
    <w:p>
      <w:pPr>
        <w:pStyle w:val="Heading2"/>
        <w:spacing w:before="240" w:after="120"/>
      </w:pPr>
      <w:r>
        <w:rPr>
          <w:rFonts w:ascii="Calibri" w:hAnsi="Calibri"/>
          <w:b/>
          <w:color w:val="2E74B5"/>
          <w:sz w:val="26"/>
        </w:rPr>
        <w:t>Self-connection comparison</w:t>
      </w:r>
    </w:p>
    <w:tbl>
      <w:tblPr>
        <w:tblStyle w:val="TableGrid"/>
        <w:tblW w:type="dxa" w:w="9360"/>
        <w:jc w:val="left"/>
        <w:tblLayout w:type="fixed"/>
        <w:tblLook w:firstColumn="1" w:firstRow="1" w:lastColumn="0" w:lastRow="0" w:noHBand="0" w:noVBand="1" w:val="04A0"/>
        <w:tblInd w:w="120" w:type="dxa"/>
      </w:tblPr>
      <w:tblGrid>
        <w:gridCol w:w="1500"/>
        <w:gridCol w:w="2300"/>
        <w:gridCol w:w="1800"/>
        <w:gridCol w:w="1800"/>
        <w:gridCol w:w="1960"/>
      </w:tblGrid>
      <w:tr>
        <w:tc>
          <w:tcPr>
            <w:tcW w:type="dxa" w:w="1500"/>
            <w:shd w:fill="F2F4F7"/>
            <w:tcMar>
              <w:top w:w="80" w:type="dxa"/>
              <w:start w:w="120" w:type="dxa"/>
              <w:bottom w:w="80" w:type="dxa"/>
              <w:end w:w="120" w:type="dxa"/>
            </w:tcMar>
            <w:vAlign w:val="top"/>
          </w:tcPr>
          <w:p>
            <w:pPr>
              <w:spacing w:after="0"/>
            </w:pPr>
            <w:r>
              <w:rPr>
                <w:rFonts w:ascii="Calibri" w:hAnsi="Calibri"/>
                <w:b/>
                <w:color w:val="141414"/>
              </w:rPr>
              <w:t>Variant</w:t>
            </w:r>
          </w:p>
        </w:tc>
        <w:tc>
          <w:tcPr>
            <w:tcW w:type="dxa" w:w="2300"/>
            <w:shd w:fill="F2F4F7"/>
            <w:tcMar>
              <w:top w:w="80" w:type="dxa"/>
              <w:start w:w="120" w:type="dxa"/>
              <w:bottom w:w="80" w:type="dxa"/>
              <w:end w:w="120" w:type="dxa"/>
            </w:tcMar>
            <w:vAlign w:val="top"/>
          </w:tcPr>
          <w:p>
            <w:pPr>
              <w:spacing w:after="0"/>
            </w:pPr>
            <w:r>
              <w:rPr>
                <w:rFonts w:ascii="Calibri" w:hAnsi="Calibri"/>
                <w:b/>
                <w:color w:val="141414"/>
              </w:rPr>
              <w:t>Raw spectral radius</w:t>
            </w:r>
          </w:p>
        </w:tc>
        <w:tc>
          <w:tcPr>
            <w:tcW w:type="dxa" w:w="1800"/>
            <w:shd w:fill="F2F4F7"/>
            <w:tcMar>
              <w:top w:w="80" w:type="dxa"/>
              <w:start w:w="120" w:type="dxa"/>
              <w:bottom w:w="80" w:type="dxa"/>
              <w:end w:w="120" w:type="dxa"/>
            </w:tcMar>
            <w:vAlign w:val="top"/>
          </w:tcPr>
          <w:p>
            <w:pPr>
              <w:spacing w:after="0"/>
            </w:pPr>
            <w:r>
              <w:rPr>
                <w:rFonts w:ascii="Calibri" w:hAnsi="Calibri"/>
                <w:b/>
                <w:color w:val="141414"/>
              </w:rPr>
              <w:t>Achieved radius</w:t>
            </w:r>
          </w:p>
        </w:tc>
        <w:tc>
          <w:tcPr>
            <w:tcW w:type="dxa" w:w="1800"/>
            <w:shd w:fill="F2F4F7"/>
            <w:tcMar>
              <w:top w:w="80" w:type="dxa"/>
              <w:start w:w="120" w:type="dxa"/>
              <w:bottom w:w="80" w:type="dxa"/>
              <w:end w:w="120" w:type="dxa"/>
            </w:tcMar>
            <w:vAlign w:val="top"/>
          </w:tcPr>
          <w:p>
            <w:pPr>
              <w:spacing w:after="0"/>
            </w:pPr>
            <w:r>
              <w:rPr>
                <w:rFonts w:ascii="Calibri" w:hAnsi="Calibri"/>
                <w:b/>
                <w:color w:val="141414"/>
              </w:rPr>
              <w:t>Frobenius norm</w:t>
            </w:r>
          </w:p>
        </w:tc>
        <w:tc>
          <w:tcPr>
            <w:tcW w:type="dxa" w:w="1960"/>
            <w:shd w:fill="F2F4F7"/>
            <w:tcMar>
              <w:top w:w="80" w:type="dxa"/>
              <w:start w:w="120" w:type="dxa"/>
              <w:bottom w:w="80" w:type="dxa"/>
              <w:end w:w="120" w:type="dxa"/>
            </w:tcMar>
            <w:vAlign w:val="top"/>
          </w:tcPr>
          <w:p>
            <w:pPr>
              <w:spacing w:after="0"/>
            </w:pPr>
            <w:r>
              <w:rPr>
                <w:rFonts w:ascii="Calibri" w:hAnsi="Calibri"/>
                <w:b/>
                <w:color w:val="141414"/>
              </w:rPr>
              <w:t>Non-normality</w:t>
            </w:r>
          </w:p>
        </w:tc>
      </w:tr>
      <w:tr>
        <w:tc>
          <w:tcPr>
            <w:tcW w:type="dxa" w:w="1500"/>
            <w:tcMar>
              <w:top w:w="80" w:type="dxa"/>
              <w:start w:w="120" w:type="dxa"/>
              <w:bottom w:w="80" w:type="dxa"/>
              <w:end w:w="120" w:type="dxa"/>
            </w:tcMar>
            <w:vAlign w:val="top"/>
          </w:tcPr>
          <w:p>
            <w:pPr>
              <w:spacing w:after="0"/>
            </w:pPr>
            <w:r>
              <w:rPr>
                <w:rFonts w:ascii="Calibri" w:hAnsi="Calibri"/>
                <w:color w:val="141414"/>
              </w:rPr>
              <w:t>with_self</w:t>
            </w:r>
          </w:p>
        </w:tc>
        <w:tc>
          <w:tcPr>
            <w:tcW w:type="dxa" w:w="2300"/>
            <w:tcMar>
              <w:top w:w="80" w:type="dxa"/>
              <w:start w:w="120" w:type="dxa"/>
              <w:bottom w:w="80" w:type="dxa"/>
              <w:end w:w="120" w:type="dxa"/>
            </w:tcMar>
            <w:vAlign w:val="top"/>
          </w:tcPr>
          <w:p>
            <w:pPr>
              <w:spacing w:after="0"/>
            </w:pPr>
            <w:r>
              <w:rPr>
                <w:rFonts w:ascii="Calibri" w:hAnsi="Calibri"/>
                <w:color w:val="141414"/>
              </w:rPr>
              <w:t>26,213.1</w:t>
            </w:r>
          </w:p>
        </w:tc>
        <w:tc>
          <w:tcPr>
            <w:tcW w:type="dxa" w:w="1800"/>
            <w:tcMar>
              <w:top w:w="80" w:type="dxa"/>
              <w:start w:w="120" w:type="dxa"/>
              <w:bottom w:w="80" w:type="dxa"/>
              <w:end w:w="120" w:type="dxa"/>
            </w:tcMar>
            <w:vAlign w:val="top"/>
          </w:tcPr>
          <w:p>
            <w:pPr>
              <w:spacing w:after="0"/>
            </w:pPr>
            <w:r>
              <w:rPr>
                <w:rFonts w:ascii="Calibri" w:hAnsi="Calibri"/>
                <w:color w:val="141414"/>
              </w:rPr>
              <w:t>0.95</w:t>
            </w:r>
          </w:p>
        </w:tc>
        <w:tc>
          <w:tcPr>
            <w:tcW w:type="dxa" w:w="1800"/>
            <w:tcMar>
              <w:top w:w="80" w:type="dxa"/>
              <w:start w:w="120" w:type="dxa"/>
              <w:bottom w:w="80" w:type="dxa"/>
              <w:end w:w="120" w:type="dxa"/>
            </w:tcMar>
            <w:vAlign w:val="top"/>
          </w:tcPr>
          <w:p>
            <w:pPr>
              <w:spacing w:after="0"/>
            </w:pPr>
            <w:r>
              <w:rPr>
                <w:rFonts w:ascii="Calibri" w:hAnsi="Calibri"/>
                <w:color w:val="141414"/>
              </w:rPr>
              <w:t>77.2</w:t>
            </w:r>
          </w:p>
        </w:tc>
        <w:tc>
          <w:tcPr>
            <w:tcW w:type="dxa" w:w="1960"/>
            <w:tcMar>
              <w:top w:w="80" w:type="dxa"/>
              <w:start w:w="120" w:type="dxa"/>
              <w:bottom w:w="80" w:type="dxa"/>
              <w:end w:w="120" w:type="dxa"/>
            </w:tcMar>
            <w:vAlign w:val="top"/>
          </w:tcPr>
          <w:p>
            <w:pPr>
              <w:spacing w:after="0"/>
            </w:pPr>
            <w:r>
              <w:rPr>
                <w:rFonts w:ascii="Calibri" w:hAnsi="Calibri"/>
                <w:color w:val="141414"/>
              </w:rPr>
              <w:t>5,869.9</w:t>
            </w:r>
          </w:p>
        </w:tc>
      </w:tr>
      <w:tr>
        <w:tc>
          <w:tcPr>
            <w:tcW w:type="dxa" w:w="1500"/>
            <w:tcMar>
              <w:top w:w="80" w:type="dxa"/>
              <w:start w:w="120" w:type="dxa"/>
              <w:bottom w:w="80" w:type="dxa"/>
              <w:end w:w="120" w:type="dxa"/>
            </w:tcMar>
            <w:vAlign w:val="top"/>
          </w:tcPr>
          <w:p>
            <w:pPr>
              <w:spacing w:after="0"/>
            </w:pPr>
            <w:r>
              <w:rPr>
                <w:rFonts w:ascii="Calibri" w:hAnsi="Calibri"/>
                <w:color w:val="141414"/>
              </w:rPr>
              <w:t>no_self</w:t>
            </w:r>
          </w:p>
        </w:tc>
        <w:tc>
          <w:tcPr>
            <w:tcW w:type="dxa" w:w="2300"/>
            <w:tcMar>
              <w:top w:w="80" w:type="dxa"/>
              <w:start w:w="120" w:type="dxa"/>
              <w:bottom w:w="80" w:type="dxa"/>
              <w:end w:w="120" w:type="dxa"/>
            </w:tcMar>
            <w:vAlign w:val="top"/>
          </w:tcPr>
          <w:p>
            <w:pPr>
              <w:spacing w:after="0"/>
            </w:pPr>
            <w:r>
              <w:rPr>
                <w:rFonts w:ascii="Calibri" w:hAnsi="Calibri"/>
                <w:color w:val="141414"/>
              </w:rPr>
              <w:t>14,837.9</w:t>
            </w:r>
          </w:p>
        </w:tc>
        <w:tc>
          <w:tcPr>
            <w:tcW w:type="dxa" w:w="1800"/>
            <w:tcMar>
              <w:top w:w="80" w:type="dxa"/>
              <w:start w:w="120" w:type="dxa"/>
              <w:bottom w:w="80" w:type="dxa"/>
              <w:end w:w="120" w:type="dxa"/>
            </w:tcMar>
            <w:vAlign w:val="top"/>
          </w:tcPr>
          <w:p>
            <w:pPr>
              <w:spacing w:after="0"/>
            </w:pPr>
            <w:r>
              <w:rPr>
                <w:rFonts w:ascii="Calibri" w:hAnsi="Calibri"/>
                <w:color w:val="141414"/>
              </w:rPr>
              <w:t>0.95</w:t>
            </w:r>
          </w:p>
        </w:tc>
        <w:tc>
          <w:tcPr>
            <w:tcW w:type="dxa" w:w="1800"/>
            <w:tcMar>
              <w:top w:w="80" w:type="dxa"/>
              <w:start w:w="120" w:type="dxa"/>
              <w:bottom w:w="80" w:type="dxa"/>
              <w:end w:w="120" w:type="dxa"/>
            </w:tcMar>
            <w:vAlign w:val="top"/>
          </w:tcPr>
          <w:p>
            <w:pPr>
              <w:spacing w:after="0"/>
            </w:pPr>
            <w:r>
              <w:rPr>
                <w:rFonts w:ascii="Calibri" w:hAnsi="Calibri"/>
                <w:color w:val="141414"/>
              </w:rPr>
              <w:t>136.3</w:t>
            </w:r>
          </w:p>
        </w:tc>
        <w:tc>
          <w:tcPr>
            <w:tcW w:type="dxa" w:w="1960"/>
            <w:tcMar>
              <w:top w:w="80" w:type="dxa"/>
              <w:start w:w="120" w:type="dxa"/>
              <w:bottom w:w="80" w:type="dxa"/>
              <w:end w:w="120" w:type="dxa"/>
            </w:tcMar>
            <w:vAlign w:val="top"/>
          </w:tcPr>
          <w:p>
            <w:pPr>
              <w:spacing w:after="0"/>
            </w:pPr>
            <w:r>
              <w:rPr>
                <w:rFonts w:ascii="Calibri" w:hAnsi="Calibri"/>
                <w:color w:val="141414"/>
              </w:rPr>
              <w:t>18,319.8</w:t>
            </w:r>
          </w:p>
        </w:tc>
      </w:tr>
    </w:tbl>
    <w:p>
      <w:pPr>
        <w:spacing w:after="40"/>
      </w:pPr>
    </w:p>
    <w:p>
      <w:pPr>
        <w:spacing w:before="0" w:after="120" w:line="264" w:lineRule="auto"/>
      </w:pPr>
      <w:r>
        <w:rPr>
          <w:rFonts w:ascii="Calibri" w:hAnsi="Calibri"/>
          <w:color w:val="141414"/>
        </w:rPr>
        <w:t>The no-self variant reaches the same target spectral radius but has larger Frobenius norm and substantially higher non-normality. This matters because non-normal matrices can show strong transient amplification even when eigenvalues are kept inside a stable radius.</w:t>
      </w:r>
    </w:p>
    <w:p>
      <w:pPr>
        <w:spacing w:before="80" w:after="0"/>
        <w:jc w:val="center"/>
      </w:pPr>
      <w:r>
        <w:drawing>
          <wp:inline xmlns:a="http://schemas.openxmlformats.org/drawingml/2006/main" xmlns:pic="http://schemas.openxmlformats.org/drawingml/2006/picture">
            <wp:extent cx="5806440" cy="2322576"/>
            <wp:docPr id="3" name="Picture 3"/>
            <wp:cNvGraphicFramePr>
              <a:graphicFrameLocks noChangeAspect="1"/>
            </wp:cNvGraphicFramePr>
            <a:graphic>
              <a:graphicData uri="http://schemas.openxmlformats.org/drawingml/2006/picture">
                <pic:pic>
                  <pic:nvPicPr>
                    <pic:cNvPr id="0" name="schur_decomp_self_comparison.png"/>
                    <pic:cNvPicPr/>
                  </pic:nvPicPr>
                  <pic:blipFill>
                    <a:blip r:embed="rId13"/>
                    <a:stretch>
                      <a:fillRect/>
                    </a:stretch>
                  </pic:blipFill>
                  <pic:spPr>
                    <a:xfrm>
                      <a:off x="0" y="0"/>
                      <a:ext cx="5806440" cy="2322576"/>
                    </a:xfrm>
                    <a:prstGeom prst="rect"/>
                  </pic:spPr>
                </pic:pic>
              </a:graphicData>
            </a:graphic>
          </wp:inline>
        </w:drawing>
      </w:r>
    </w:p>
    <w:p>
      <w:pPr>
        <w:spacing w:before="60" w:after="180"/>
        <w:jc w:val="center"/>
      </w:pPr>
      <w:r>
        <w:rPr>
          <w:rFonts w:ascii="Calibri" w:hAnsi="Calibri"/>
          <w:i/>
          <w:color w:val="585858"/>
          <w:sz w:val="19"/>
        </w:rPr>
        <w:t>Figure 3. No-self to with-self ratios for selected linear-systems summaries.</w:t>
      </w:r>
    </w:p>
    <w:p>
      <w:pPr>
        <w:pStyle w:val="Heading2"/>
        <w:spacing w:before="240" w:after="120"/>
      </w:pPr>
      <w:r>
        <w:rPr>
          <w:rFonts w:ascii="Calibri" w:hAnsi="Calibri"/>
          <w:b/>
          <w:color w:val="2E74B5"/>
          <w:sz w:val="26"/>
        </w:rPr>
        <w:t>Linear systems branch</w:t>
      </w:r>
    </w:p>
    <w:tbl>
      <w:tblPr>
        <w:tblStyle w:val="TableGrid"/>
        <w:tblW w:type="dxa" w:w="9360"/>
        <w:jc w:val="left"/>
        <w:tblLayout w:type="fixed"/>
        <w:tblLook w:firstColumn="1" w:firstRow="1" w:lastColumn="0" w:lastRow="0" w:noHBand="0" w:noVBand="1" w:val="04A0"/>
        <w:tblInd w:w="120" w:type="dxa"/>
      </w:tblPr>
      <w:tblGrid>
        <w:gridCol w:w="1500"/>
        <w:gridCol w:w="2200"/>
        <w:gridCol w:w="1900"/>
        <w:gridCol w:w="1900"/>
        <w:gridCol w:w="1860"/>
      </w:tblGrid>
      <w:tr>
        <w:tc>
          <w:tcPr>
            <w:tcW w:type="dxa" w:w="1500"/>
            <w:shd w:fill="F2F4F7"/>
            <w:tcMar>
              <w:top w:w="80" w:type="dxa"/>
              <w:start w:w="120" w:type="dxa"/>
              <w:bottom w:w="80" w:type="dxa"/>
              <w:end w:w="120" w:type="dxa"/>
            </w:tcMar>
            <w:vAlign w:val="top"/>
          </w:tcPr>
          <w:p>
            <w:pPr>
              <w:spacing w:after="0"/>
            </w:pPr>
            <w:r>
              <w:rPr>
                <w:rFonts w:ascii="Calibri" w:hAnsi="Calibri"/>
                <w:b/>
                <w:color w:val="141414"/>
              </w:rPr>
              <w:t>Variant</w:t>
            </w:r>
          </w:p>
        </w:tc>
        <w:tc>
          <w:tcPr>
            <w:tcW w:type="dxa" w:w="2200"/>
            <w:shd w:fill="F2F4F7"/>
            <w:tcMar>
              <w:top w:w="80" w:type="dxa"/>
              <w:start w:w="120" w:type="dxa"/>
              <w:bottom w:w="80" w:type="dxa"/>
              <w:end w:w="120" w:type="dxa"/>
            </w:tcMar>
            <w:vAlign w:val="top"/>
          </w:tcPr>
          <w:p>
            <w:pPr>
              <w:spacing w:after="0"/>
            </w:pPr>
            <w:r>
              <w:rPr>
                <w:rFonts w:ascii="Calibri" w:hAnsi="Calibri"/>
                <w:b/>
                <w:color w:val="141414"/>
              </w:rPr>
              <w:t>Cumulative path norm</w:t>
            </w:r>
          </w:p>
        </w:tc>
        <w:tc>
          <w:tcPr>
            <w:tcW w:type="dxa" w:w="1900"/>
            <w:shd w:fill="F2F4F7"/>
            <w:tcMar>
              <w:top w:w="80" w:type="dxa"/>
              <w:start w:w="120" w:type="dxa"/>
              <w:bottom w:w="80" w:type="dxa"/>
              <w:end w:w="120" w:type="dxa"/>
            </w:tcMar>
            <w:vAlign w:val="top"/>
          </w:tcPr>
          <w:p>
            <w:pPr>
              <w:spacing w:after="0"/>
            </w:pPr>
            <w:r>
              <w:rPr>
                <w:rFonts w:ascii="Calibri" w:hAnsi="Calibri"/>
                <w:b/>
                <w:color w:val="141414"/>
              </w:rPr>
              <w:t>Gramian trace</w:t>
            </w:r>
          </w:p>
        </w:tc>
        <w:tc>
          <w:tcPr>
            <w:tcW w:type="dxa" w:w="1900"/>
            <w:shd w:fill="F2F4F7"/>
            <w:tcMar>
              <w:top w:w="80" w:type="dxa"/>
              <w:start w:w="120" w:type="dxa"/>
              <w:bottom w:w="80" w:type="dxa"/>
              <w:end w:w="120" w:type="dxa"/>
            </w:tcMar>
            <w:vAlign w:val="top"/>
          </w:tcPr>
          <w:p>
            <w:pPr>
              <w:spacing w:after="0"/>
            </w:pPr>
            <w:r>
              <w:rPr>
                <w:rFonts w:ascii="Calibri" w:hAnsi="Calibri"/>
                <w:b/>
                <w:color w:val="141414"/>
              </w:rPr>
              <w:t>Gramian condition</w:t>
            </w:r>
          </w:p>
        </w:tc>
        <w:tc>
          <w:tcPr>
            <w:tcW w:type="dxa" w:w="1860"/>
            <w:shd w:fill="F2F4F7"/>
            <w:tcMar>
              <w:top w:w="80" w:type="dxa"/>
              <w:start w:w="120" w:type="dxa"/>
              <w:bottom w:w="80" w:type="dxa"/>
              <w:end w:w="120" w:type="dxa"/>
            </w:tcMar>
            <w:vAlign w:val="top"/>
          </w:tcPr>
          <w:p>
            <w:pPr>
              <w:spacing w:after="0"/>
            </w:pPr>
            <w:r>
              <w:rPr>
                <w:rFonts w:ascii="Calibri" w:hAnsi="Calibri"/>
                <w:b/>
                <w:color w:val="141414"/>
              </w:rPr>
              <w:t>Peak gain</w:t>
            </w:r>
          </w:p>
        </w:tc>
      </w:tr>
      <w:tr>
        <w:tc>
          <w:tcPr>
            <w:tcW w:type="dxa" w:w="1500"/>
            <w:tcMar>
              <w:top w:w="80" w:type="dxa"/>
              <w:start w:w="120" w:type="dxa"/>
              <w:bottom w:w="80" w:type="dxa"/>
              <w:end w:w="120" w:type="dxa"/>
            </w:tcMar>
            <w:vAlign w:val="top"/>
          </w:tcPr>
          <w:p>
            <w:pPr>
              <w:spacing w:after="0"/>
            </w:pPr>
            <w:r>
              <w:rPr>
                <w:rFonts w:ascii="Calibri" w:hAnsi="Calibri"/>
                <w:color w:val="141414"/>
              </w:rPr>
              <w:t>with_self</w:t>
            </w:r>
          </w:p>
        </w:tc>
        <w:tc>
          <w:tcPr>
            <w:tcW w:type="dxa" w:w="2200"/>
            <w:tcMar>
              <w:top w:w="80" w:type="dxa"/>
              <w:start w:w="120" w:type="dxa"/>
              <w:bottom w:w="80" w:type="dxa"/>
              <w:end w:w="120" w:type="dxa"/>
            </w:tcMar>
            <w:vAlign w:val="top"/>
          </w:tcPr>
          <w:p>
            <w:pPr>
              <w:spacing w:after="0"/>
            </w:pPr>
            <w:r>
              <w:rPr>
                <w:rFonts w:ascii="Calibri" w:hAnsi="Calibri"/>
                <w:color w:val="141414"/>
              </w:rPr>
              <w:t>132.0</w:t>
            </w:r>
          </w:p>
        </w:tc>
        <w:tc>
          <w:tcPr>
            <w:tcW w:type="dxa" w:w="1900"/>
            <w:tcMar>
              <w:top w:w="80" w:type="dxa"/>
              <w:start w:w="120" w:type="dxa"/>
              <w:bottom w:w="80" w:type="dxa"/>
              <w:end w:w="120" w:type="dxa"/>
            </w:tcMar>
            <w:vAlign w:val="top"/>
          </w:tcPr>
          <w:p>
            <w:pPr>
              <w:spacing w:after="0"/>
            </w:pPr>
            <w:r>
              <w:rPr>
                <w:rFonts w:ascii="Calibri" w:hAnsi="Calibri"/>
                <w:color w:val="141414"/>
              </w:rPr>
              <w:t>9,546.6</w:t>
            </w:r>
          </w:p>
        </w:tc>
        <w:tc>
          <w:tcPr>
            <w:tcW w:type="dxa" w:w="1900"/>
            <w:tcMar>
              <w:top w:w="80" w:type="dxa"/>
              <w:start w:w="120" w:type="dxa"/>
              <w:bottom w:w="80" w:type="dxa"/>
              <w:end w:w="120" w:type="dxa"/>
            </w:tcMar>
            <w:vAlign w:val="top"/>
          </w:tcPr>
          <w:p>
            <w:pPr>
              <w:spacing w:after="0"/>
            </w:pPr>
            <w:r>
              <w:rPr>
                <w:rFonts w:ascii="Calibri" w:hAnsi="Calibri"/>
                <w:color w:val="141414"/>
              </w:rPr>
              <w:t>5,767.2</w:t>
            </w:r>
          </w:p>
        </w:tc>
        <w:tc>
          <w:tcPr>
            <w:tcW w:type="dxa" w:w="1860"/>
            <w:tcMar>
              <w:top w:w="80" w:type="dxa"/>
              <w:start w:w="120" w:type="dxa"/>
              <w:bottom w:w="80" w:type="dxa"/>
              <w:end w:w="120" w:type="dxa"/>
            </w:tcMar>
            <w:vAlign w:val="top"/>
          </w:tcPr>
          <w:p>
            <w:pPr>
              <w:spacing w:after="0"/>
            </w:pPr>
            <w:r>
              <w:rPr>
                <w:rFonts w:ascii="Calibri" w:hAnsi="Calibri"/>
                <w:color w:val="141414"/>
              </w:rPr>
              <w:t>69.4</w:t>
            </w:r>
          </w:p>
        </w:tc>
      </w:tr>
      <w:tr>
        <w:tc>
          <w:tcPr>
            <w:tcW w:type="dxa" w:w="1500"/>
            <w:tcMar>
              <w:top w:w="80" w:type="dxa"/>
              <w:start w:w="120" w:type="dxa"/>
              <w:bottom w:w="80" w:type="dxa"/>
              <w:end w:w="120" w:type="dxa"/>
            </w:tcMar>
            <w:vAlign w:val="top"/>
          </w:tcPr>
          <w:p>
            <w:pPr>
              <w:spacing w:after="0"/>
            </w:pPr>
            <w:r>
              <w:rPr>
                <w:rFonts w:ascii="Calibri" w:hAnsi="Calibri"/>
                <w:color w:val="141414"/>
              </w:rPr>
              <w:t>no_self</w:t>
            </w:r>
          </w:p>
        </w:tc>
        <w:tc>
          <w:tcPr>
            <w:tcW w:type="dxa" w:w="2200"/>
            <w:tcMar>
              <w:top w:w="80" w:type="dxa"/>
              <w:start w:w="120" w:type="dxa"/>
              <w:bottom w:w="80" w:type="dxa"/>
              <w:end w:w="120" w:type="dxa"/>
            </w:tcMar>
            <w:vAlign w:val="top"/>
          </w:tcPr>
          <w:p>
            <w:pPr>
              <w:spacing w:after="0"/>
            </w:pPr>
            <w:r>
              <w:rPr>
                <w:rFonts w:ascii="Calibri" w:hAnsi="Calibri"/>
                <w:color w:val="141414"/>
              </w:rPr>
              <w:t>323.9</w:t>
            </w:r>
          </w:p>
        </w:tc>
        <w:tc>
          <w:tcPr>
            <w:tcW w:type="dxa" w:w="1900"/>
            <w:tcMar>
              <w:top w:w="80" w:type="dxa"/>
              <w:start w:w="120" w:type="dxa"/>
              <w:bottom w:w="80" w:type="dxa"/>
              <w:end w:w="120" w:type="dxa"/>
            </w:tcMar>
            <w:vAlign w:val="top"/>
          </w:tcPr>
          <w:p>
            <w:pPr>
              <w:spacing w:after="0"/>
            </w:pPr>
            <w:r>
              <w:rPr>
                <w:rFonts w:ascii="Calibri" w:hAnsi="Calibri"/>
                <w:color w:val="141414"/>
              </w:rPr>
              <w:t>56,245.6</w:t>
            </w:r>
          </w:p>
        </w:tc>
        <w:tc>
          <w:tcPr>
            <w:tcW w:type="dxa" w:w="1900"/>
            <w:tcMar>
              <w:top w:w="80" w:type="dxa"/>
              <w:start w:w="120" w:type="dxa"/>
              <w:bottom w:w="80" w:type="dxa"/>
              <w:end w:w="120" w:type="dxa"/>
            </w:tcMar>
            <w:vAlign w:val="top"/>
          </w:tcPr>
          <w:p>
            <w:pPr>
              <w:spacing w:after="0"/>
            </w:pPr>
            <w:r>
              <w:rPr>
                <w:rFonts w:ascii="Calibri" w:hAnsi="Calibri"/>
                <w:color w:val="141414"/>
              </w:rPr>
              <w:t>42,740.4</w:t>
            </w:r>
          </w:p>
        </w:tc>
        <w:tc>
          <w:tcPr>
            <w:tcW w:type="dxa" w:w="1860"/>
            <w:tcMar>
              <w:top w:w="80" w:type="dxa"/>
              <w:start w:w="120" w:type="dxa"/>
              <w:bottom w:w="80" w:type="dxa"/>
              <w:end w:w="120" w:type="dxa"/>
            </w:tcMar>
            <w:vAlign w:val="top"/>
          </w:tcPr>
          <w:p>
            <w:pPr>
              <w:spacing w:after="0"/>
            </w:pPr>
            <w:r>
              <w:rPr>
                <w:rFonts w:ascii="Calibri" w:hAnsi="Calibri"/>
                <w:color w:val="141414"/>
              </w:rPr>
              <w:t>193.4</w:t>
            </w:r>
          </w:p>
        </w:tc>
      </w:tr>
    </w:tbl>
    <w:p>
      <w:pPr>
        <w:spacing w:after="40"/>
      </w:pPr>
    </w:p>
    <w:p>
      <w:pPr>
        <w:spacing w:before="0" w:after="120" w:line="264" w:lineRule="auto"/>
      </w:pPr>
      <w:r>
        <w:rPr>
          <w:rFonts w:ascii="Calibri" w:hAnsi="Calibri"/>
          <w:color w:val="141414"/>
        </w:rPr>
        <w:t>The linear-systems outputs suggest that removing self-connections increases indirect path strength, controllability energy, and low-frequency gain. This makes the self/no-self comparison a genuine modeling decision rather than a cosmetic preprocessing step.</w:t>
      </w:r>
    </w:p>
    <w:p>
      <w:pPr>
        <w:pStyle w:val="Heading2"/>
        <w:spacing w:before="240" w:after="120"/>
      </w:pPr>
      <w:r>
        <w:rPr>
          <w:rFonts w:ascii="Calibri" w:hAnsi="Calibri"/>
          <w:b/>
          <w:color w:val="2E74B5"/>
          <w:sz w:val="26"/>
        </w:rPr>
        <w:t>Inhibitory modulation branch</w:t>
      </w:r>
    </w:p>
    <w:tbl>
      <w:tblPr>
        <w:tblStyle w:val="TableGrid"/>
        <w:tblW w:type="dxa" w:w="9360"/>
        <w:jc w:val="left"/>
        <w:tblLayout w:type="fixed"/>
        <w:tblLook w:firstColumn="1" w:firstRow="1" w:lastColumn="0" w:lastRow="0" w:noHBand="0" w:noVBand="1" w:val="04A0"/>
        <w:tblInd w:w="120" w:type="dxa"/>
      </w:tblPr>
      <w:tblGrid>
        <w:gridCol w:w="1500"/>
        <w:gridCol w:w="2200"/>
        <w:gridCol w:w="1900"/>
        <w:gridCol w:w="1900"/>
        <w:gridCol w:w="1860"/>
      </w:tblGrid>
      <w:tr>
        <w:tc>
          <w:tcPr>
            <w:tcW w:type="dxa" w:w="1500"/>
            <w:shd w:fill="F2F4F7"/>
            <w:tcMar>
              <w:top w:w="80" w:type="dxa"/>
              <w:start w:w="120" w:type="dxa"/>
              <w:bottom w:w="80" w:type="dxa"/>
              <w:end w:w="120" w:type="dxa"/>
            </w:tcMar>
            <w:vAlign w:val="top"/>
          </w:tcPr>
          <w:p>
            <w:pPr>
              <w:spacing w:after="0"/>
            </w:pPr>
            <w:r>
              <w:rPr>
                <w:rFonts w:ascii="Calibri" w:hAnsi="Calibri"/>
                <w:b/>
                <w:color w:val="141414"/>
              </w:rPr>
              <w:t>Variant</w:t>
            </w:r>
          </w:p>
        </w:tc>
        <w:tc>
          <w:tcPr>
            <w:tcW w:type="dxa" w:w="2200"/>
            <w:shd w:fill="F2F4F7"/>
            <w:tcMar>
              <w:top w:w="80" w:type="dxa"/>
              <w:start w:w="120" w:type="dxa"/>
              <w:bottom w:w="80" w:type="dxa"/>
              <w:end w:w="120" w:type="dxa"/>
            </w:tcMar>
            <w:vAlign w:val="top"/>
          </w:tcPr>
          <w:p>
            <w:pPr>
              <w:spacing w:after="0"/>
            </w:pPr>
            <w:r>
              <w:rPr>
                <w:rFonts w:ascii="Calibri" w:hAnsi="Calibri"/>
                <w:b/>
                <w:color w:val="141414"/>
              </w:rPr>
              <w:t>Effective E radius</w:t>
            </w:r>
          </w:p>
        </w:tc>
        <w:tc>
          <w:tcPr>
            <w:tcW w:type="dxa" w:w="1900"/>
            <w:shd w:fill="F2F4F7"/>
            <w:tcMar>
              <w:top w:w="80" w:type="dxa"/>
              <w:start w:w="120" w:type="dxa"/>
              <w:bottom w:w="80" w:type="dxa"/>
              <w:end w:w="120" w:type="dxa"/>
            </w:tcMar>
            <w:vAlign w:val="top"/>
          </w:tcPr>
          <w:p>
            <w:pPr>
              <w:spacing w:after="0"/>
            </w:pPr>
            <w:r>
              <w:rPr>
                <w:rFonts w:ascii="Calibri" w:hAnsi="Calibri"/>
                <w:b/>
                <w:color w:val="141414"/>
              </w:rPr>
              <w:t>Feedback radius</w:t>
            </w:r>
          </w:p>
        </w:tc>
        <w:tc>
          <w:tcPr>
            <w:tcW w:type="dxa" w:w="1900"/>
            <w:shd w:fill="F2F4F7"/>
            <w:tcMar>
              <w:top w:w="80" w:type="dxa"/>
              <w:start w:w="120" w:type="dxa"/>
              <w:bottom w:w="80" w:type="dxa"/>
              <w:end w:w="120" w:type="dxa"/>
            </w:tcMar>
            <w:vAlign w:val="top"/>
          </w:tcPr>
          <w:p>
            <w:pPr>
              <w:spacing w:after="0"/>
            </w:pPr>
            <w:r>
              <w:rPr>
                <w:rFonts w:ascii="Calibri" w:hAnsi="Calibri"/>
                <w:b/>
                <w:color w:val="141414"/>
              </w:rPr>
              <w:t>Selected I-I order</w:t>
            </w:r>
          </w:p>
        </w:tc>
        <w:tc>
          <w:tcPr>
            <w:tcW w:type="dxa" w:w="1860"/>
            <w:shd w:fill="F2F4F7"/>
            <w:tcMar>
              <w:top w:w="80" w:type="dxa"/>
              <w:start w:w="120" w:type="dxa"/>
              <w:bottom w:w="80" w:type="dxa"/>
              <w:end w:w="120" w:type="dxa"/>
            </w:tcMar>
            <w:vAlign w:val="top"/>
          </w:tcPr>
          <w:p>
            <w:pPr>
              <w:spacing w:after="0"/>
            </w:pPr>
            <w:r>
              <w:rPr>
                <w:rFonts w:ascii="Calibri" w:hAnsi="Calibri"/>
                <w:b/>
                <w:color w:val="141414"/>
              </w:rPr>
              <w:t>alpha rho(M_II)</w:t>
            </w:r>
          </w:p>
        </w:tc>
      </w:tr>
      <w:tr>
        <w:tc>
          <w:tcPr>
            <w:tcW w:type="dxa" w:w="1500"/>
            <w:tcMar>
              <w:top w:w="80" w:type="dxa"/>
              <w:start w:w="120" w:type="dxa"/>
              <w:bottom w:w="80" w:type="dxa"/>
              <w:end w:w="120" w:type="dxa"/>
            </w:tcMar>
            <w:vAlign w:val="top"/>
          </w:tcPr>
          <w:p>
            <w:pPr>
              <w:spacing w:after="0"/>
            </w:pPr>
            <w:r>
              <w:rPr>
                <w:rFonts w:ascii="Calibri" w:hAnsi="Calibri"/>
                <w:color w:val="141414"/>
              </w:rPr>
              <w:t>with_self</w:t>
            </w:r>
          </w:p>
        </w:tc>
        <w:tc>
          <w:tcPr>
            <w:tcW w:type="dxa" w:w="2200"/>
            <w:tcMar>
              <w:top w:w="80" w:type="dxa"/>
              <w:start w:w="120" w:type="dxa"/>
              <w:bottom w:w="80" w:type="dxa"/>
              <w:end w:w="120" w:type="dxa"/>
            </w:tcMar>
            <w:vAlign w:val="top"/>
          </w:tcPr>
          <w:p>
            <w:pPr>
              <w:spacing w:after="0"/>
            </w:pPr>
            <w:r>
              <w:rPr>
                <w:rFonts w:ascii="Calibri" w:hAnsi="Calibri"/>
                <w:color w:val="141414"/>
              </w:rPr>
              <w:t>1.000</w:t>
            </w:r>
          </w:p>
        </w:tc>
        <w:tc>
          <w:tcPr>
            <w:tcW w:type="dxa" w:w="1900"/>
            <w:tcMar>
              <w:top w:w="80" w:type="dxa"/>
              <w:start w:w="120" w:type="dxa"/>
              <w:bottom w:w="80" w:type="dxa"/>
              <w:end w:w="120" w:type="dxa"/>
            </w:tcMar>
            <w:vAlign w:val="top"/>
          </w:tcPr>
          <w:p>
            <w:pPr>
              <w:spacing w:after="0"/>
            </w:pPr>
            <w:r>
              <w:rPr>
                <w:rFonts w:ascii="Calibri" w:hAnsi="Calibri"/>
                <w:color w:val="141414"/>
              </w:rPr>
              <w:t>0.116</w:t>
            </w:r>
          </w:p>
        </w:tc>
        <w:tc>
          <w:tcPr>
            <w:tcW w:type="dxa" w:w="1900"/>
            <w:tcMar>
              <w:top w:w="80" w:type="dxa"/>
              <w:start w:w="120" w:type="dxa"/>
              <w:bottom w:w="80" w:type="dxa"/>
              <w:end w:w="120" w:type="dxa"/>
            </w:tcMar>
            <w:vAlign w:val="top"/>
          </w:tcPr>
          <w:p>
            <w:pPr>
              <w:spacing w:after="0"/>
            </w:pPr>
            <w:r>
              <w:rPr>
                <w:rFonts w:ascii="Calibri" w:hAnsi="Calibri"/>
                <w:color w:val="141414"/>
              </w:rPr>
              <w:t>2</w:t>
            </w:r>
          </w:p>
        </w:tc>
        <w:tc>
          <w:tcPr>
            <w:tcW w:type="dxa" w:w="1860"/>
            <w:tcMar>
              <w:top w:w="80" w:type="dxa"/>
              <w:start w:w="120" w:type="dxa"/>
              <w:bottom w:w="80" w:type="dxa"/>
              <w:end w:w="120" w:type="dxa"/>
            </w:tcMar>
            <w:vAlign w:val="top"/>
          </w:tcPr>
          <w:p>
            <w:pPr>
              <w:spacing w:after="0"/>
            </w:pPr>
            <w:r>
              <w:rPr>
                <w:rFonts w:ascii="Calibri" w:hAnsi="Calibri"/>
                <w:color w:val="141414"/>
              </w:rPr>
              <w:t>0.155</w:t>
            </w:r>
          </w:p>
        </w:tc>
      </w:tr>
      <w:tr>
        <w:tc>
          <w:tcPr>
            <w:tcW w:type="dxa" w:w="1500"/>
            <w:tcMar>
              <w:top w:w="80" w:type="dxa"/>
              <w:start w:w="120" w:type="dxa"/>
              <w:bottom w:w="80" w:type="dxa"/>
              <w:end w:w="120" w:type="dxa"/>
            </w:tcMar>
            <w:vAlign w:val="top"/>
          </w:tcPr>
          <w:p>
            <w:pPr>
              <w:spacing w:after="0"/>
            </w:pPr>
            <w:r>
              <w:rPr>
                <w:rFonts w:ascii="Calibri" w:hAnsi="Calibri"/>
                <w:color w:val="141414"/>
              </w:rPr>
              <w:t>no_self</w:t>
            </w:r>
          </w:p>
        </w:tc>
        <w:tc>
          <w:tcPr>
            <w:tcW w:type="dxa" w:w="2200"/>
            <w:tcMar>
              <w:top w:w="80" w:type="dxa"/>
              <w:start w:w="120" w:type="dxa"/>
              <w:bottom w:w="80" w:type="dxa"/>
              <w:end w:w="120" w:type="dxa"/>
            </w:tcMar>
            <w:vAlign w:val="top"/>
          </w:tcPr>
          <w:p>
            <w:pPr>
              <w:spacing w:after="0"/>
            </w:pPr>
            <w:r>
              <w:rPr>
                <w:rFonts w:ascii="Calibri" w:hAnsi="Calibri"/>
                <w:color w:val="141414"/>
              </w:rPr>
              <w:t>1.000</w:t>
            </w:r>
          </w:p>
        </w:tc>
        <w:tc>
          <w:tcPr>
            <w:tcW w:type="dxa" w:w="1900"/>
            <w:tcMar>
              <w:top w:w="80" w:type="dxa"/>
              <w:start w:w="120" w:type="dxa"/>
              <w:bottom w:w="80" w:type="dxa"/>
              <w:end w:w="120" w:type="dxa"/>
            </w:tcMar>
            <w:vAlign w:val="top"/>
          </w:tcPr>
          <w:p>
            <w:pPr>
              <w:spacing w:after="0"/>
            </w:pPr>
            <w:r>
              <w:rPr>
                <w:rFonts w:ascii="Calibri" w:hAnsi="Calibri"/>
                <w:color w:val="141414"/>
              </w:rPr>
              <w:t>0.365</w:t>
            </w:r>
          </w:p>
        </w:tc>
        <w:tc>
          <w:tcPr>
            <w:tcW w:type="dxa" w:w="1900"/>
            <w:tcMar>
              <w:top w:w="80" w:type="dxa"/>
              <w:start w:w="120" w:type="dxa"/>
              <w:bottom w:w="80" w:type="dxa"/>
              <w:end w:w="120" w:type="dxa"/>
            </w:tcMar>
            <w:vAlign w:val="top"/>
          </w:tcPr>
          <w:p>
            <w:pPr>
              <w:spacing w:after="0"/>
            </w:pPr>
            <w:r>
              <w:rPr>
                <w:rFonts w:ascii="Calibri" w:hAnsi="Calibri"/>
                <w:color w:val="141414"/>
              </w:rPr>
              <w:t>1</w:t>
            </w:r>
          </w:p>
        </w:tc>
        <w:tc>
          <w:tcPr>
            <w:tcW w:type="dxa" w:w="1860"/>
            <w:tcMar>
              <w:top w:w="80" w:type="dxa"/>
              <w:start w:w="120" w:type="dxa"/>
              <w:bottom w:w="80" w:type="dxa"/>
              <w:end w:w="120" w:type="dxa"/>
            </w:tcMar>
            <w:vAlign w:val="top"/>
          </w:tcPr>
          <w:p>
            <w:pPr>
              <w:spacing w:after="0"/>
            </w:pPr>
            <w:r>
              <w:rPr>
                <w:rFonts w:ascii="Calibri" w:hAnsi="Calibri"/>
                <w:color w:val="141414"/>
              </w:rPr>
              <w:t>0.116</w:t>
            </w:r>
          </w:p>
        </w:tc>
      </w:tr>
    </w:tbl>
    <w:p>
      <w:pPr>
        <w:spacing w:after="40"/>
      </w:pPr>
    </w:p>
    <w:p>
      <w:pPr>
        <w:spacing w:before="0" w:after="120" w:line="264" w:lineRule="auto"/>
      </w:pPr>
      <w:r>
        <w:rPr>
          <w:rFonts w:ascii="Calibri" w:hAnsi="Calibri"/>
          <w:color w:val="141414"/>
        </w:rPr>
        <w:t>The inhibitory branch should be presented as a focused extension of the main Schur project. It uses the same state convention but partitions the matrix into E and I blocks, then asks how inhibitory feedback reshapes effective excitatory dynamics.</w:t>
      </w:r>
    </w:p>
    <w:p>
      <w:pPr>
        <w:pStyle w:val="Heading1"/>
        <w:spacing w:before="320" w:after="160"/>
      </w:pPr>
      <w:r>
        <w:rPr>
          <w:rFonts w:ascii="Calibri" w:hAnsi="Calibri"/>
          <w:b/>
          <w:color w:val="2E74B5"/>
          <w:sz w:val="32"/>
        </w:rPr>
        <w:t>Interpretive Value for Advisor Discussion</w:t>
      </w:r>
    </w:p>
    <w:p>
      <w:pPr>
        <w:pStyle w:val="ListBullet"/>
        <w:spacing w:after="160" w:line="280" w:lineRule="auto"/>
      </w:pPr>
      <w:r>
        <w:rPr>
          <w:rFonts w:ascii="Calibri" w:hAnsi="Calibri"/>
          <w:color w:val="141414"/>
        </w:rPr>
        <w:t>The project provides a consistent mathematical convention for a biologically directed matrix, reducing ambiguity about source and receiver roles.</w:t>
      </w:r>
    </w:p>
    <w:p>
      <w:pPr>
        <w:pStyle w:val="ListBullet"/>
        <w:spacing w:after="160" w:line="280" w:lineRule="auto"/>
      </w:pPr>
      <w:r>
        <w:rPr>
          <w:rFonts w:ascii="Calibri" w:hAnsi="Calibri"/>
          <w:color w:val="141414"/>
        </w:rPr>
        <w:t>Schur decomposition gives a stable modal coordinate system that supports both eigenvalue interpretation and directed mode-coupling traces.</w:t>
      </w:r>
    </w:p>
    <w:p>
      <w:pPr>
        <w:pStyle w:val="ListBullet"/>
        <w:spacing w:after="160" w:line="280" w:lineRule="auto"/>
      </w:pPr>
      <w:r>
        <w:rPr>
          <w:rFonts w:ascii="Calibri" w:hAnsi="Calibri"/>
          <w:color w:val="141414"/>
        </w:rPr>
        <w:t>Self/no-self comparisons show that diagonal entries materially affect spectral scale, non-normality, and propagation strength.</w:t>
      </w:r>
    </w:p>
    <w:p>
      <w:pPr>
        <w:pStyle w:val="ListBullet"/>
        <w:spacing w:after="160" w:line="280" w:lineRule="auto"/>
      </w:pPr>
      <w:r>
        <w:rPr>
          <w:rFonts w:ascii="Calibri" w:hAnsi="Calibri"/>
          <w:color w:val="141414"/>
        </w:rPr>
        <w:t>Greedy trees and top-contributor tables translate high-dimensional modes into cell-class hypotheses that can be checked against neuroanatomy.</w:t>
      </w:r>
    </w:p>
    <w:p>
      <w:pPr>
        <w:pStyle w:val="ListBullet"/>
        <w:spacing w:after="160" w:line="280" w:lineRule="auto"/>
      </w:pPr>
      <w:r>
        <w:rPr>
          <w:rFonts w:ascii="Calibri" w:hAnsi="Calibri"/>
          <w:color w:val="141414"/>
        </w:rPr>
        <w:t>The inhibitory Schur-complement branch connects broad linear algebra results to mechanistic questions about feedback and disinhibition.</w:t>
      </w:r>
    </w:p>
    <w:p>
      <w:pPr>
        <w:pStyle w:val="Heading1"/>
        <w:spacing w:before="320" w:after="160"/>
      </w:pPr>
      <w:r>
        <w:rPr>
          <w:rFonts w:ascii="Calibri" w:hAnsi="Calibri"/>
          <w:b/>
          <w:color w:val="2E74B5"/>
          <w:sz w:val="32"/>
        </w:rPr>
        <w:t>Limitations</w:t>
      </w:r>
    </w:p>
    <w:p>
      <w:pPr>
        <w:pStyle w:val="ListBullet"/>
        <w:spacing w:after="160" w:line="280" w:lineRule="auto"/>
      </w:pPr>
      <w:r>
        <w:rPr>
          <w:rFonts w:ascii="Calibri" w:hAnsi="Calibri"/>
          <w:color w:val="141414"/>
        </w:rPr>
        <w:t>The model is linear and static; it does not include spiking dynamics, nonlinear activation, synaptic delays, or state-dependent gain changes.</w:t>
      </w:r>
    </w:p>
    <w:p>
      <w:pPr>
        <w:pStyle w:val="ListBullet"/>
        <w:spacing w:after="160" w:line="280" w:lineRule="auto"/>
      </w:pPr>
      <w:r>
        <w:rPr>
          <w:rFonts w:ascii="Calibri" w:hAnsi="Calibri"/>
          <w:color w:val="141414"/>
        </w:rPr>
        <w:t>Some E/I labels are inferred by string patterns or netlist metadata, so final biological claims should verify labels against the source dataset.</w:t>
      </w:r>
    </w:p>
    <w:p>
      <w:pPr>
        <w:pStyle w:val="ListBullet"/>
        <w:spacing w:after="160" w:line="280" w:lineRule="auto"/>
      </w:pPr>
      <w:r>
        <w:rPr>
          <w:rFonts w:ascii="Calibri" w:hAnsi="Calibri"/>
          <w:color w:val="141414"/>
        </w:rPr>
        <w:t>Schur vectors are orthonormal modal coordinates, not ordinary eigenvectors; interpretation should preserve that distinction.</w:t>
      </w:r>
    </w:p>
    <w:p>
      <w:pPr>
        <w:pStyle w:val="ListBullet"/>
        <w:spacing w:after="160" w:line="280" w:lineRule="auto"/>
      </w:pPr>
      <w:r>
        <w:rPr>
          <w:rFonts w:ascii="Calibri" w:hAnsi="Calibri"/>
          <w:color w:val="141414"/>
        </w:rPr>
        <w:t>Spectral-radius normalization is useful for comparison and stability, but normalized values should not be read as direct physiological magnitudes.</w:t>
      </w:r>
    </w:p>
    <w:p>
      <w:pPr>
        <w:pStyle w:val="ListBullet"/>
        <w:spacing w:after="160" w:line="280" w:lineRule="auto"/>
      </w:pPr>
      <w:r>
        <w:rPr>
          <w:rFonts w:ascii="Calibri" w:hAnsi="Calibri"/>
          <w:color w:val="141414"/>
        </w:rPr>
        <w:t>Greedy trees are interpretive summaries of high-loading subnetworks, not guaranteed optimal circuit reconstructions.</w:t>
      </w:r>
    </w:p>
    <w:p>
      <w:pPr>
        <w:pStyle w:val="Heading1"/>
        <w:spacing w:before="320" w:after="160"/>
      </w:pPr>
      <w:r>
        <w:rPr>
          <w:rFonts w:ascii="Calibri" w:hAnsi="Calibri"/>
          <w:b/>
          <w:color w:val="2E74B5"/>
          <w:sz w:val="32"/>
        </w:rPr>
        <w:t>Recommended Next Steps</w:t>
      </w:r>
    </w:p>
    <w:p>
      <w:pPr>
        <w:pStyle w:val="ListBullet"/>
        <w:spacing w:after="160" w:line="280" w:lineRule="auto"/>
      </w:pPr>
      <w:r>
        <w:rPr>
          <w:rFonts w:ascii="Calibri" w:hAnsi="Calibri"/>
          <w:color w:val="141414"/>
        </w:rPr>
        <w:t>Choose a primary matrix convention and include a short convention statement in every notebook and figure caption.</w:t>
      </w:r>
    </w:p>
    <w:p>
      <w:pPr>
        <w:pStyle w:val="ListBullet"/>
        <w:spacing w:after="160" w:line="280" w:lineRule="auto"/>
      </w:pPr>
      <w:r>
        <w:rPr>
          <w:rFonts w:ascii="Calibri" w:hAnsi="Calibri"/>
          <w:color w:val="141414"/>
        </w:rPr>
        <w:t>Decide whether the advisor-facing analysis should prioritize with-self, no-self, or a formal side-by-side treatment.</w:t>
      </w:r>
    </w:p>
    <w:p>
      <w:pPr>
        <w:pStyle w:val="ListBullet"/>
        <w:spacing w:after="160" w:line="280" w:lineRule="auto"/>
      </w:pPr>
      <w:r>
        <w:rPr>
          <w:rFonts w:ascii="Calibri" w:hAnsi="Calibri"/>
          <w:color w:val="141414"/>
        </w:rPr>
        <w:t>Validate the top Schur-mode and greedy-tree cell classes against known hippocampal-entorhinal pathways.</w:t>
      </w:r>
    </w:p>
    <w:p>
      <w:pPr>
        <w:pStyle w:val="ListBullet"/>
        <w:spacing w:after="160" w:line="280" w:lineRule="auto"/>
      </w:pPr>
      <w:r>
        <w:rPr>
          <w:rFonts w:ascii="Calibri" w:hAnsi="Calibri"/>
          <w:color w:val="141414"/>
        </w:rPr>
        <w:t>Add a constrained null model for motif and path analyses that preserves region and E/I block structure.</w:t>
      </w:r>
    </w:p>
    <w:p>
      <w:pPr>
        <w:pStyle w:val="ListBullet"/>
        <w:spacing w:after="160" w:line="280" w:lineRule="auto"/>
      </w:pPr>
      <w:r>
        <w:rPr>
          <w:rFonts w:ascii="Calibri" w:hAnsi="Calibri"/>
          <w:color w:val="141414"/>
        </w:rPr>
        <w:t>Package the most important outputs into a compact figure panel: spectrum, Schur T heatmap, mode contributors, self/no-self comparison, and inhibitory feedback summary.</w:t>
      </w:r>
    </w:p>
    <w:p>
      <w:pPr>
        <w:pStyle w:val="Heading1"/>
        <w:spacing w:before="320" w:after="160"/>
      </w:pPr>
      <w:r>
        <w:rPr>
          <w:rFonts w:ascii="Calibri" w:hAnsi="Calibri"/>
          <w:b/>
          <w:color w:val="2E74B5"/>
          <w:sz w:val="32"/>
        </w:rPr>
        <w:t>Source Files Used</w:t>
      </w:r>
    </w:p>
    <w:p>
      <w:pPr>
        <w:pStyle w:val="ListBullet"/>
        <w:spacing w:after="160" w:line="280" w:lineRule="auto"/>
      </w:pPr>
      <w:r>
        <w:rPr>
          <w:rFonts w:ascii="Calibri" w:hAnsi="Calibri"/>
          <w:color w:val="141414"/>
        </w:rPr>
        <w:t>eigenmode_analysis_mij_schur_corrected_left_action.ipynb and related notebooks: exploratory analysis and interpretive notes.</w:t>
      </w:r>
    </w:p>
    <w:p>
      <w:pPr>
        <w:pStyle w:val="ListBullet"/>
        <w:spacing w:after="160" w:line="280" w:lineRule="auto"/>
      </w:pPr>
      <w:r>
        <w:rPr>
          <w:rFonts w:ascii="Calibri" w:hAnsi="Calibri"/>
          <w:color w:val="141414"/>
        </w:rPr>
        <w:t>schur_analysis_utils_script.py: reusable Schur decomposition and modal interpretation functions.</w:t>
      </w:r>
    </w:p>
    <w:p>
      <w:pPr>
        <w:pStyle w:val="ListBullet"/>
        <w:spacing w:after="160" w:line="280" w:lineRule="auto"/>
      </w:pPr>
      <w:r>
        <w:rPr>
          <w:rFonts w:ascii="Calibri" w:hAnsi="Calibri"/>
          <w:color w:val="141414"/>
        </w:rPr>
        <w:t>schur_signal_propagation_script.py: propagation and saved Schur-mode outputs.</w:t>
      </w:r>
    </w:p>
    <w:p>
      <w:pPr>
        <w:pStyle w:val="ListBullet"/>
        <w:spacing w:after="160" w:line="280" w:lineRule="auto"/>
      </w:pPr>
      <w:r>
        <w:rPr>
          <w:rFonts w:ascii="Calibri" w:hAnsi="Calibri"/>
          <w:color w:val="141414"/>
        </w:rPr>
        <w:t>schur_mode_greedy_trees_script.py: mode contributor subnetworks and greedy tree summaries.</w:t>
      </w:r>
    </w:p>
    <w:p>
      <w:pPr>
        <w:pStyle w:val="ListBullet"/>
        <w:spacing w:after="160" w:line="280" w:lineRule="auto"/>
      </w:pPr>
      <w:r>
        <w:rPr>
          <w:rFonts w:ascii="Calibri" w:hAnsi="Calibri"/>
          <w:color w:val="141414"/>
        </w:rPr>
        <w:t>network_linear_systems_tools_script.py: path powers, controllability, and frequency-response summaries.</w:t>
      </w:r>
    </w:p>
    <w:p>
      <w:pPr>
        <w:pStyle w:val="ListBullet"/>
        <w:spacing w:after="160" w:line="280" w:lineRule="auto"/>
      </w:pPr>
      <w:r>
        <w:rPr>
          <w:rFonts w:ascii="Calibri" w:hAnsi="Calibri"/>
          <w:color w:val="141414"/>
        </w:rPr>
        <w:t>inhibitory_schur_modulation_script.py: E/I block analysis and inhibitory Schur-complement branch.</w:t>
      </w:r>
    </w:p>
    <w:p>
      <w:pPr>
        <w:pStyle w:val="ListBullet"/>
        <w:spacing w:after="160" w:line="280" w:lineRule="auto"/>
      </w:pPr>
      <w:r>
        <w:rPr>
          <w:rFonts w:ascii="Calibri" w:hAnsi="Calibri"/>
          <w:color w:val="141414"/>
        </w:rPr>
        <w:t>outputs/schur_modes, outputs/schur_mode_greedy_trees, outputs/network_linear_systems, and outputs/inhibitory_schur_modulation: generated result tables used in this brief.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85858"/>
        <w:sz w:val="18"/>
      </w:rPr>
      <w:t>Advisor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85858"/>
        <w:sz w:val="18"/>
      </w:rPr>
      <w:t>schur_decomp project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