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4"/>
        </w:rPr>
        <w:t>Inhibitory Modulation Project Summary</w:t>
      </w:r>
    </w:p>
    <w:p>
      <w:pPr>
        <w:spacing w:after="200"/>
      </w:pPr>
      <w:r>
        <w:rPr>
          <w:rFonts w:ascii="Calibri" w:hAnsi="Calibri"/>
          <w:i/>
          <w:color w:val="555555"/>
          <w:sz w:val="24"/>
        </w:rPr>
        <w:t>Advisor submission brief for the inhib_modulation analysis project</w:t>
      </w:r>
    </w:p>
    <w:p>
      <w:pPr>
        <w:spacing w:after="280"/>
      </w:pPr>
      <w:r>
        <w:rPr>
          <w:rFonts w:ascii="Calibri" w:hAnsi="Calibri"/>
          <w:color w:val="555555"/>
          <w:sz w:val="20"/>
        </w:rPr>
        <w:t>Prepared from repository contents on August 24, 2026</w:t>
      </w:r>
    </w:p>
    <w:tbl>
      <w:tblPr>
        <w:tblW w:type="dxa" w:w="9360"/>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120" w:type="dxa"/>
          <w:start w:w="160" w:type="dxa"/>
          <w:bottom w:w="120" w:type="dxa"/>
          <w:end w:w="160" w:type="dxa"/>
        </w:tblCellMar>
        <w:tblInd w:w="120" w:type="dxa"/>
      </w:tblPr>
      <w:tblGrid>
        <w:gridCol w:w="9360"/>
      </w:tblGrid>
      <w:tr>
        <w:tc>
          <w:tcPr>
            <w:tcW w:type="dxa" w:w="9360"/>
            <w:shd w:fill="F4F6F9"/>
          </w:tcPr>
          <w:p>
            <w:pPr>
              <w:spacing w:after="0" w:line="264" w:lineRule="auto"/>
            </w:pPr>
            <w:r>
              <w:rPr>
                <w:rFonts w:ascii="Calibri" w:hAnsi="Calibri"/>
                <w:b/>
                <w:color w:val="1F4D78"/>
                <w:sz w:val="21"/>
              </w:rPr>
              <w:t xml:space="preserve">Project purpose: </w:t>
            </w:r>
            <w:r>
              <w:rPr>
                <w:rFonts w:ascii="Calibri" w:hAnsi="Calibri"/>
                <w:sz w:val="21"/>
              </w:rPr>
              <w:t>This project analyzes how inhibitory structure in a signed hippocampal neuron-type connectivity matrix shapes propagation, stability, and candidate disinhibitory pathways. The workflow moves from data validation and global E/I dynamics to targeted perturbations and local triad motifs, so conclusions are supported at multiple spatial and mechanistic scales.</w:t>
            </w:r>
          </w:p>
        </w:tc>
        <w:trPr>
          <w:tblHeader/>
        </w:trPr>
      </w:tr>
    </w:tbl>
    <w:p/>
    <w:p>
      <w:pPr>
        <w:pStyle w:val="Heading1"/>
        <w:spacing w:after="120" w:line="264" w:lineRule="auto"/>
      </w:pPr>
      <w:r>
        <w:rPr>
          <w:rFonts w:ascii="Calibri" w:hAnsi="Calibri"/>
        </w:rPr>
        <w:t>Executive Summary</w:t>
      </w:r>
    </w:p>
    <w:p>
      <w:pPr>
        <w:spacing w:after="120" w:line="264" w:lineRule="auto"/>
      </w:pPr>
      <w:r>
        <w:rPr>
          <w:rFonts w:ascii="Calibri" w:hAnsi="Calibri"/>
        </w:rPr>
        <w:t>The inhib_modulation repository contains a staged notebook workflow and shared helper module for analyzing inhibitory modulation in an 85-population signed hippocampal connectivity matrix. The central biological question is whether the placement and organization of inhibitory connections change how activity propagates through the network, which cell classes act as candidate inhibitory gates, and which local motifs explain the global stability effects.</w:t>
      </w:r>
    </w:p>
    <w:p>
      <w:pPr>
        <w:spacing w:after="120" w:line="264" w:lineRule="auto"/>
      </w:pPr>
      <w:r>
        <w:rPr>
          <w:rFonts w:ascii="Calibri" w:hAnsi="Calibri"/>
        </w:rPr>
        <w:t>The project deliberately uses several complementary methods rather than one summary statistic. Linear dynamical simulations describe propagation; eigenvalue and transient-growth diagnostics describe stability; block perturbations and ablations test causal sensitivity; Schur and resolvent analyses summarize the net effect of inhibitory populations on excitatory dynamics; Neumann expansions and explicit path enumeration interpret inhibitory feedback by chain length; and randomized nulls ask whether observed inhibitory organization is more structured than comparable rewired networks.</w:t>
      </w:r>
    </w:p>
    <w:p>
      <w:pPr>
        <w:spacing w:after="120" w:line="264" w:lineRule="auto"/>
      </w:pPr>
      <w:r>
        <w:rPr>
          <w:rFonts w:ascii="Calibri" w:hAnsi="Calibri"/>
        </w:rPr>
        <w:t>A preliminary read of the saved outputs suggests that direct E-to-E structure carries most of the dominant growth mode, while E/I cross-blocks act as stabilizing feedback. Removing E-to-I or I-to-E blocks raises the dominant real eigenvalue, whereas removing E-to-E strongly lowers it. The Schur summaries support this interpretation: direct excitatory dynamics alone are stronger than the normalized full system, and the inhibitory feedback term brings the effective excitatory operator back to the full-system reference scale.</w:t>
      </w:r>
    </w:p>
    <w:p>
      <w:pPr>
        <w:pStyle w:val="Heading1"/>
        <w:spacing w:after="120" w:line="264" w:lineRule="auto"/>
      </w:pPr>
      <w:r>
        <w:rPr>
          <w:rFonts w:ascii="Calibri" w:hAnsi="Calibri"/>
        </w:rPr>
        <w:t>Project Assets And Workflow</w:t>
      </w:r>
    </w:p>
    <w:tbl>
      <w:tblPr>
        <w:tblStyle w:val="TableGrid"/>
        <w:tblW w:type="dxa" w:w="9360"/>
        <w:tblLook w:firstColumn="1" w:firstRow="1" w:lastColumn="0" w:lastRow="0" w:noHBand="0" w:noVBand="1" w:val="04A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Layout w:type="fixed"/>
        <w:tblCellMar>
          <w:top w:w="80" w:type="dxa"/>
          <w:start w:w="120" w:type="dxa"/>
          <w:bottom w:w="80" w:type="dxa"/>
          <w:end w:w="120" w:type="dxa"/>
        </w:tblCellMar>
        <w:tblInd w:w="120" w:type="dxa"/>
      </w:tblPr>
      <w:tblGrid>
        <w:gridCol w:w="3120"/>
        <w:gridCol w:w="3120"/>
        <w:gridCol w:w="3120"/>
      </w:tblGrid>
      <w:tr>
        <w:tc>
          <w:tcPr>
            <w:tcW w:type="dxa" w:w="2520"/>
            <w:vAlign w:val="top"/>
            <w:shd w:fill="F2F4F7"/>
          </w:tcPr>
          <w:p>
            <w:pPr>
              <w:spacing w:after="0" w:line="264" w:lineRule="auto"/>
            </w:pPr>
            <w:r>
              <w:rPr>
                <w:rFonts w:ascii="Calibri" w:hAnsi="Calibri"/>
              </w:rPr>
            </w:r>
            <w:r>
              <w:rPr>
                <w:rFonts w:ascii="Calibri" w:hAnsi="Calibri"/>
                <w:b/>
                <w:color w:val="000000"/>
                <w:sz w:val="19"/>
              </w:rPr>
              <w:t>Component</w:t>
            </w:r>
          </w:p>
        </w:tc>
        <w:tc>
          <w:tcPr>
            <w:tcW w:type="dxa" w:w="3240"/>
            <w:vAlign w:val="top"/>
            <w:shd w:fill="F2F4F7"/>
          </w:tcPr>
          <w:p>
            <w:pPr>
              <w:spacing w:after="0" w:line="264" w:lineRule="auto"/>
            </w:pPr>
            <w:r>
              <w:rPr>
                <w:rFonts w:ascii="Calibri" w:hAnsi="Calibri"/>
              </w:rPr>
            </w:r>
            <w:r>
              <w:rPr>
                <w:rFonts w:ascii="Calibri" w:hAnsi="Calibri"/>
                <w:b/>
                <w:color w:val="000000"/>
                <w:sz w:val="19"/>
              </w:rPr>
              <w:t>Role in the project</w:t>
            </w:r>
          </w:p>
        </w:tc>
        <w:tc>
          <w:tcPr>
            <w:tcW w:type="dxa" w:w="3600"/>
            <w:vAlign w:val="top"/>
            <w:shd w:fill="F2F4F7"/>
          </w:tcPr>
          <w:p>
            <w:pPr>
              <w:spacing w:after="0" w:line="264" w:lineRule="auto"/>
            </w:pPr>
            <w:r>
              <w:rPr>
                <w:rFonts w:ascii="Calibri" w:hAnsi="Calibri"/>
              </w:rPr>
            </w:r>
            <w:r>
              <w:rPr>
                <w:rFonts w:ascii="Calibri" w:hAnsi="Calibri"/>
                <w:b/>
                <w:color w:val="000000"/>
                <w:sz w:val="19"/>
              </w:rPr>
              <w:t>Why it matters</w:t>
            </w:r>
          </w:p>
        </w:tc>
        <w:trPr>
          <w:tblHeader/>
        </w:trPr>
      </w:tr>
      <w:tr>
        <w:tc>
          <w:tcPr>
            <w:tcW w:type="dxa" w:w="2520"/>
            <w:vAlign w:val="top"/>
          </w:tcPr>
          <w:p>
            <w:pPr>
              <w:spacing w:after="0" w:line="264" w:lineRule="auto"/>
            </w:pPr>
            <w:r>
              <w:rPr>
                <w:rFonts w:ascii="Calibri" w:hAnsi="Calibri"/>
              </w:rPr>
            </w:r>
            <w:r>
              <w:rPr>
                <w:rFonts w:ascii="Calibri" w:hAnsi="Calibri"/>
                <w:b w:val="0"/>
                <w:sz w:val="18"/>
              </w:rPr>
              <w:t>matrices/mij_matrix.csv</w:t>
            </w:r>
          </w:p>
        </w:tc>
        <w:tc>
          <w:tcPr>
            <w:tcW w:type="dxa" w:w="3240"/>
            <w:vAlign w:val="top"/>
          </w:tcPr>
          <w:p>
            <w:pPr>
              <w:spacing w:after="0" w:line="264" w:lineRule="auto"/>
            </w:pPr>
            <w:r>
              <w:rPr>
                <w:rFonts w:ascii="Calibri" w:hAnsi="Calibri"/>
              </w:rPr>
            </w:r>
            <w:r>
              <w:rPr>
                <w:rFonts w:ascii="Calibri" w:hAnsi="Calibri"/>
                <w:b w:val="0"/>
                <w:sz w:val="18"/>
              </w:rPr>
              <w:t>Primary 85 x 85 signed directed connectivity matrix.</w:t>
            </w:r>
          </w:p>
        </w:tc>
        <w:tc>
          <w:tcPr>
            <w:tcW w:type="dxa" w:w="3600"/>
            <w:vAlign w:val="top"/>
          </w:tcPr>
          <w:p>
            <w:pPr>
              <w:spacing w:after="0" w:line="264" w:lineRule="auto"/>
            </w:pPr>
            <w:r>
              <w:rPr>
                <w:rFonts w:ascii="Calibri" w:hAnsi="Calibri"/>
              </w:rPr>
            </w:r>
            <w:r>
              <w:rPr>
                <w:rFonts w:ascii="Calibri" w:hAnsi="Calibri"/>
                <w:b w:val="0"/>
                <w:sz w:val="18"/>
              </w:rPr>
              <w:t>Defines the weighted population-level network being analyzed.</w:t>
            </w:r>
          </w:p>
        </w:tc>
      </w:tr>
      <w:tr>
        <w:tc>
          <w:tcPr>
            <w:tcW w:type="dxa" w:w="2520"/>
            <w:vAlign w:val="top"/>
          </w:tcPr>
          <w:p>
            <w:pPr>
              <w:spacing w:after="0" w:line="264" w:lineRule="auto"/>
            </w:pPr>
            <w:r>
              <w:rPr>
                <w:rFonts w:ascii="Calibri" w:hAnsi="Calibri"/>
              </w:rPr>
            </w:r>
            <w:r>
              <w:rPr>
                <w:rFonts w:ascii="Calibri" w:hAnsi="Calibri"/>
                <w:b w:val="0"/>
                <w:sz w:val="18"/>
              </w:rPr>
              <w:t>matrices/mij_netlist.csv</w:t>
            </w:r>
          </w:p>
        </w:tc>
        <w:tc>
          <w:tcPr>
            <w:tcW w:type="dxa" w:w="3240"/>
            <w:vAlign w:val="top"/>
          </w:tcPr>
          <w:p>
            <w:pPr>
              <w:spacing w:after="0" w:line="264" w:lineRule="auto"/>
            </w:pPr>
            <w:r>
              <w:rPr>
                <w:rFonts w:ascii="Calibri" w:hAnsi="Calibri"/>
              </w:rPr>
            </w:r>
            <w:r>
              <w:rPr>
                <w:rFonts w:ascii="Calibri" w:hAnsi="Calibri"/>
                <w:b w:val="0"/>
                <w:sz w:val="18"/>
              </w:rPr>
              <w:t>Edge-level table with pre/post neuron labels, E/I metadata, and weights.</w:t>
            </w:r>
          </w:p>
        </w:tc>
        <w:tc>
          <w:tcPr>
            <w:tcW w:type="dxa" w:w="3600"/>
            <w:vAlign w:val="top"/>
          </w:tcPr>
          <w:p>
            <w:pPr>
              <w:spacing w:after="0" w:line="264" w:lineRule="auto"/>
            </w:pPr>
            <w:r>
              <w:rPr>
                <w:rFonts w:ascii="Calibri" w:hAnsi="Calibri"/>
              </w:rPr>
            </w:r>
            <w:r>
              <w:rPr>
                <w:rFonts w:ascii="Calibri" w:hAnsi="Calibri"/>
                <w:b w:val="0"/>
                <w:sz w:val="18"/>
              </w:rPr>
              <w:t>Supplies explicit E/I labels and verifies matrix orientation and edge signs.</w:t>
            </w:r>
          </w:p>
        </w:tc>
      </w:tr>
      <w:tr>
        <w:tc>
          <w:tcPr>
            <w:tcW w:type="dxa" w:w="2520"/>
            <w:vAlign w:val="top"/>
          </w:tcPr>
          <w:p>
            <w:pPr>
              <w:spacing w:after="0" w:line="264" w:lineRule="auto"/>
            </w:pPr>
            <w:r>
              <w:rPr>
                <w:rFonts w:ascii="Calibri" w:hAnsi="Calibri"/>
              </w:rPr>
            </w:r>
            <w:r>
              <w:rPr>
                <w:rFonts w:ascii="Calibri" w:hAnsi="Calibri"/>
                <w:b w:val="0"/>
                <w:sz w:val="18"/>
              </w:rPr>
              <w:t>notebooks/01_inhibitory_modulation_backbone_workflow.ipynb</w:t>
            </w:r>
          </w:p>
        </w:tc>
        <w:tc>
          <w:tcPr>
            <w:tcW w:type="dxa" w:w="3240"/>
            <w:vAlign w:val="top"/>
          </w:tcPr>
          <w:p>
            <w:pPr>
              <w:spacing w:after="0" w:line="264" w:lineRule="auto"/>
            </w:pPr>
            <w:r>
              <w:rPr>
                <w:rFonts w:ascii="Calibri" w:hAnsi="Calibri"/>
              </w:rPr>
            </w:r>
            <w:r>
              <w:rPr>
                <w:rFonts w:ascii="Calibri" w:hAnsi="Calibri"/>
                <w:b w:val="0"/>
                <w:sz w:val="18"/>
              </w:rPr>
              <w:t>Foundational validation and backbone propagation workflow.</w:t>
            </w:r>
          </w:p>
        </w:tc>
        <w:tc>
          <w:tcPr>
            <w:tcW w:type="dxa" w:w="3600"/>
            <w:vAlign w:val="top"/>
          </w:tcPr>
          <w:p>
            <w:pPr>
              <w:spacing w:after="0" w:line="264" w:lineRule="auto"/>
            </w:pPr>
            <w:r>
              <w:rPr>
                <w:rFonts w:ascii="Calibri" w:hAnsi="Calibri"/>
              </w:rPr>
            </w:r>
            <w:r>
              <w:rPr>
                <w:rFonts w:ascii="Calibri" w:hAnsi="Calibri"/>
                <w:b w:val="0"/>
                <w:sz w:val="18"/>
              </w:rPr>
              <w:t>Establishes orientation, normalization, baseline dynamics, inhibitory-strength sweeps, ablations, motif geometry, and null comparison.</w:t>
            </w:r>
          </w:p>
        </w:tc>
      </w:tr>
      <w:tr>
        <w:tc>
          <w:tcPr>
            <w:tcW w:type="dxa" w:w="2520"/>
            <w:vAlign w:val="top"/>
          </w:tcPr>
          <w:p>
            <w:pPr>
              <w:spacing w:after="0" w:line="264" w:lineRule="auto"/>
            </w:pPr>
            <w:r>
              <w:rPr>
                <w:rFonts w:ascii="Calibri" w:hAnsi="Calibri"/>
              </w:rPr>
            </w:r>
            <w:r>
              <w:rPr>
                <w:rFonts w:ascii="Calibri" w:hAnsi="Calibri"/>
                <w:b w:val="0"/>
                <w:sz w:val="18"/>
              </w:rPr>
              <w:t>notebooks/02_inhibitory_modulation_analysis.ipynb</w:t>
            </w:r>
          </w:p>
        </w:tc>
        <w:tc>
          <w:tcPr>
            <w:tcW w:type="dxa" w:w="3240"/>
            <w:vAlign w:val="top"/>
          </w:tcPr>
          <w:p>
            <w:pPr>
              <w:spacing w:after="0" w:line="264" w:lineRule="auto"/>
            </w:pPr>
            <w:r>
              <w:rPr>
                <w:rFonts w:ascii="Calibri" w:hAnsi="Calibri"/>
              </w:rPr>
            </w:r>
            <w:r>
              <w:rPr>
                <w:rFonts w:ascii="Calibri" w:hAnsi="Calibri"/>
                <w:b w:val="0"/>
                <w:sz w:val="18"/>
              </w:rPr>
              <w:t>Main mechanistic fracture analysis.</w:t>
            </w:r>
          </w:p>
        </w:tc>
        <w:tc>
          <w:tcPr>
            <w:tcW w:type="dxa" w:w="3600"/>
            <w:vAlign w:val="top"/>
          </w:tcPr>
          <w:p>
            <w:pPr>
              <w:spacing w:after="0" w:line="264" w:lineRule="auto"/>
            </w:pPr>
            <w:r>
              <w:rPr>
                <w:rFonts w:ascii="Calibri" w:hAnsi="Calibri"/>
              </w:rPr>
            </w:r>
            <w:r>
              <w:rPr>
                <w:rFonts w:ascii="Calibri" w:hAnsi="Calibri"/>
                <w:b w:val="0"/>
                <w:sz w:val="18"/>
              </w:rPr>
              <w:t>Compares with-self and no-self variants using block removal, Schur reduction, resolvent responses, Neumann selection, and explicit path rankings.</w:t>
            </w:r>
          </w:p>
        </w:tc>
      </w:tr>
      <w:tr>
        <w:tc>
          <w:tcPr>
            <w:tcW w:type="dxa" w:w="2520"/>
            <w:vAlign w:val="top"/>
          </w:tcPr>
          <w:p>
            <w:pPr>
              <w:spacing w:after="0" w:line="264" w:lineRule="auto"/>
            </w:pPr>
            <w:r>
              <w:rPr>
                <w:rFonts w:ascii="Calibri" w:hAnsi="Calibri"/>
              </w:rPr>
            </w:r>
            <w:r>
              <w:rPr>
                <w:rFonts w:ascii="Calibri" w:hAnsi="Calibri"/>
                <w:b w:val="0"/>
                <w:sz w:val="18"/>
              </w:rPr>
              <w:t>notebooks/03_inhibitory_two_edge_triad_sensitivity.ipynb</w:t>
            </w:r>
          </w:p>
        </w:tc>
        <w:tc>
          <w:tcPr>
            <w:tcW w:type="dxa" w:w="3240"/>
            <w:vAlign w:val="top"/>
          </w:tcPr>
          <w:p>
            <w:pPr>
              <w:spacing w:after="0" w:line="264" w:lineRule="auto"/>
            </w:pPr>
            <w:r>
              <w:rPr>
                <w:rFonts w:ascii="Calibri" w:hAnsi="Calibri"/>
              </w:rPr>
            </w:r>
            <w:r>
              <w:rPr>
                <w:rFonts w:ascii="Calibri" w:hAnsi="Calibri"/>
                <w:b w:val="0"/>
                <w:sz w:val="18"/>
              </w:rPr>
              <w:t>Local motif and self-connection sensitivity analysis.</w:t>
            </w:r>
          </w:p>
        </w:tc>
        <w:tc>
          <w:tcPr>
            <w:tcW w:type="dxa" w:w="3600"/>
            <w:vAlign w:val="top"/>
          </w:tcPr>
          <w:p>
            <w:pPr>
              <w:spacing w:after="0" w:line="264" w:lineRule="auto"/>
            </w:pPr>
            <w:r>
              <w:rPr>
                <w:rFonts w:ascii="Calibri" w:hAnsi="Calibri"/>
              </w:rPr>
            </w:r>
            <w:r>
              <w:rPr>
                <w:rFonts w:ascii="Calibri" w:hAnsi="Calibri"/>
                <w:b w:val="0"/>
                <w:sz w:val="18"/>
              </w:rPr>
              <w:t>Explains whether local two-edge motifs and diagonal terms change rankings, ablation effects, and Schur-style reductions.</w:t>
            </w:r>
          </w:p>
        </w:tc>
      </w:tr>
      <w:tr>
        <w:tc>
          <w:tcPr>
            <w:tcW w:type="dxa" w:w="2520"/>
            <w:vAlign w:val="top"/>
          </w:tcPr>
          <w:p>
            <w:pPr>
              <w:spacing w:after="0" w:line="264" w:lineRule="auto"/>
            </w:pPr>
            <w:r>
              <w:rPr>
                <w:rFonts w:ascii="Calibri" w:hAnsi="Calibri"/>
              </w:rPr>
            </w:r>
            <w:r>
              <w:rPr>
                <w:rFonts w:ascii="Calibri" w:hAnsi="Calibri"/>
                <w:b w:val="0"/>
                <w:sz w:val="18"/>
              </w:rPr>
              <w:t>notebooks/inhibitory_modulation.py</w:t>
            </w:r>
          </w:p>
        </w:tc>
        <w:tc>
          <w:tcPr>
            <w:tcW w:type="dxa" w:w="3240"/>
            <w:vAlign w:val="top"/>
          </w:tcPr>
          <w:p>
            <w:pPr>
              <w:spacing w:after="0" w:line="264" w:lineRule="auto"/>
            </w:pPr>
            <w:r>
              <w:rPr>
                <w:rFonts w:ascii="Calibri" w:hAnsi="Calibri"/>
              </w:rPr>
            </w:r>
            <w:r>
              <w:rPr>
                <w:rFonts w:ascii="Calibri" w:hAnsi="Calibri"/>
                <w:b w:val="0"/>
                <w:sz w:val="18"/>
              </w:rPr>
              <w:t>Reusable analysis library called by the notebooks.</w:t>
            </w:r>
          </w:p>
        </w:tc>
        <w:tc>
          <w:tcPr>
            <w:tcW w:type="dxa" w:w="3600"/>
            <w:vAlign w:val="top"/>
          </w:tcPr>
          <w:p>
            <w:pPr>
              <w:spacing w:after="0" w:line="264" w:lineRule="auto"/>
            </w:pPr>
            <w:r>
              <w:rPr>
                <w:rFonts w:ascii="Calibri" w:hAnsi="Calibri"/>
              </w:rPr>
            </w:r>
            <w:r>
              <w:rPr>
                <w:rFonts w:ascii="Calibri" w:hAnsi="Calibri"/>
                <w:b w:val="0"/>
                <w:sz w:val="18"/>
              </w:rPr>
              <w:t>Keeps data loading, matrix operations, ablations, motif enumeration, and output generation reproducible.</w:t>
            </w:r>
          </w:p>
        </w:tc>
      </w:tr>
      <w:tr>
        <w:tc>
          <w:tcPr>
            <w:tcW w:type="dxa" w:w="2520"/>
            <w:vAlign w:val="top"/>
          </w:tcPr>
          <w:p>
            <w:pPr>
              <w:spacing w:after="0" w:line="264" w:lineRule="auto"/>
            </w:pPr>
            <w:r>
              <w:rPr>
                <w:rFonts w:ascii="Calibri" w:hAnsi="Calibri"/>
              </w:rPr>
            </w:r>
            <w:r>
              <w:rPr>
                <w:rFonts w:ascii="Calibri" w:hAnsi="Calibri"/>
                <w:b w:val="0"/>
                <w:sz w:val="18"/>
              </w:rPr>
              <w:t>outputs/</w:t>
            </w:r>
          </w:p>
        </w:tc>
        <w:tc>
          <w:tcPr>
            <w:tcW w:type="dxa" w:w="3240"/>
            <w:vAlign w:val="top"/>
          </w:tcPr>
          <w:p>
            <w:pPr>
              <w:spacing w:after="0" w:line="264" w:lineRule="auto"/>
            </w:pPr>
            <w:r>
              <w:rPr>
                <w:rFonts w:ascii="Calibri" w:hAnsi="Calibri"/>
              </w:rPr>
            </w:r>
            <w:r>
              <w:rPr>
                <w:rFonts w:ascii="Calibri" w:hAnsi="Calibri"/>
                <w:b w:val="0"/>
                <w:sz w:val="18"/>
              </w:rPr>
              <w:t>Saved CSV tables and figures from each stage.</w:t>
            </w:r>
          </w:p>
        </w:tc>
        <w:tc>
          <w:tcPr>
            <w:tcW w:type="dxa" w:w="3600"/>
            <w:vAlign w:val="top"/>
          </w:tcPr>
          <w:p>
            <w:pPr>
              <w:spacing w:after="0" w:line="264" w:lineRule="auto"/>
            </w:pPr>
            <w:r>
              <w:rPr>
                <w:rFonts w:ascii="Calibri" w:hAnsi="Calibri"/>
              </w:rPr>
            </w:r>
            <w:r>
              <w:rPr>
                <w:rFonts w:ascii="Calibri" w:hAnsi="Calibri"/>
                <w:b w:val="0"/>
                <w:sz w:val="18"/>
              </w:rPr>
              <w:t>Provides inspectable handoff files for review, plotting, and future manuscript-style summaries.</w:t>
            </w:r>
          </w:p>
        </w:tc>
      </w:tr>
    </w:tbl>
    <w:p/>
    <w:p>
      <w:pPr>
        <w:pStyle w:val="Heading1"/>
        <w:spacing w:after="120" w:line="264" w:lineRule="auto"/>
      </w:pPr>
      <w:r>
        <w:rPr>
          <w:rFonts w:ascii="Calibri" w:hAnsi="Calibri"/>
        </w:rPr>
        <w:t>Data And Modeling Conventions</w:t>
      </w:r>
    </w:p>
    <w:p>
      <w:pPr>
        <w:spacing w:after="120" w:line="264" w:lineRule="auto"/>
      </w:pPr>
      <w:r>
        <w:rPr>
          <w:rFonts w:ascii="Calibri" w:hAnsi="Calibri"/>
        </w:rPr>
        <w:t>The source matrix is interpreted in biological orientation as rows = presynaptic senders and columns = postsynaptic receivers. For state-space dynamics, the matrix is transposed so rows receive input from columns. This distinction is important because the dynamical equation uses A_ij as the effect of source j on receiver i.</w:t>
      </w:r>
    </w:p>
    <w:p>
      <w:pPr>
        <w:spacing w:after="120" w:line="264" w:lineRule="auto"/>
      </w:pPr>
      <w:r>
        <w:rPr>
          <w:rFonts w:ascii="Calibri" w:hAnsi="Calibri"/>
        </w:rPr>
        <w:t>The current repository outputs indicate 85 populations and 1,641 nonzero directed connections. The E/I block analyses use 32 excitatory and 53 inhibitory populations. The backbone validation notebook reports that 71 diagonal self-connections were removed for the self-free backbone analysis, leaving 707 positive and 863 negative directed edges at approximately 0.220 density.</w:t>
      </w:r>
    </w:p>
    <w:p>
      <w:pPr>
        <w:spacing w:after="120" w:line="264" w:lineRule="auto"/>
      </w:pPr>
      <w:r>
        <w:rPr>
          <w:rFonts w:ascii="Calibri" w:hAnsi="Calibri"/>
        </w:rPr>
        <w:t>Two matrix variants are carried through the main analysis. The with_self variant retains diagonal terms, preserving recurrent/self effects that may influence stability-sensitive readouts. The no_self variant zeros the diagonal, giving a cleaner cross-population circuit analysis. Each variant is normalized independently to spectral radius 1.0 in the mechanistic fracture notebook, making block and motif effects comparable on a common reference scale.</w:t>
      </w:r>
    </w:p>
    <w:p>
      <w:pPr>
        <w:pStyle w:val="Heading1"/>
        <w:spacing w:after="120" w:line="264" w:lineRule="auto"/>
      </w:pPr>
      <w:r>
        <w:rPr>
          <w:rFonts w:ascii="Calibri" w:hAnsi="Calibri"/>
        </w:rPr>
        <w:t>Methods Used And Rationale</w:t>
      </w:r>
    </w:p>
    <w:tbl>
      <w:tblPr>
        <w:tblStyle w:val="TableGrid"/>
        <w:tblW w:type="dxa" w:w="9360"/>
        <w:tblLook w:firstColumn="1" w:firstRow="1" w:lastColumn="0" w:lastRow="0" w:noHBand="0" w:noVBand="1" w:val="04A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Layout w:type="fixed"/>
        <w:tblCellMar>
          <w:top w:w="80" w:type="dxa"/>
          <w:start w:w="120" w:type="dxa"/>
          <w:bottom w:w="80" w:type="dxa"/>
          <w:end w:w="120" w:type="dxa"/>
        </w:tblCellMar>
        <w:tblInd w:w="120" w:type="dxa"/>
      </w:tblPr>
      <w:tblGrid>
        <w:gridCol w:w="3120"/>
        <w:gridCol w:w="3120"/>
        <w:gridCol w:w="3120"/>
      </w:tblGrid>
      <w:tr>
        <w:tc>
          <w:tcPr>
            <w:tcW w:type="dxa" w:w="2232"/>
            <w:vAlign w:val="top"/>
            <w:shd w:fill="F2F4F7"/>
          </w:tcPr>
          <w:p>
            <w:pPr>
              <w:spacing w:after="0" w:line="264" w:lineRule="auto"/>
            </w:pPr>
            <w:r>
              <w:rPr>
                <w:rFonts w:ascii="Calibri" w:hAnsi="Calibri"/>
              </w:rPr>
            </w:r>
            <w:r>
              <w:rPr>
                <w:rFonts w:ascii="Calibri" w:hAnsi="Calibri"/>
                <w:b/>
                <w:color w:val="000000"/>
                <w:sz w:val="19"/>
              </w:rPr>
              <w:t>Method</w:t>
            </w:r>
          </w:p>
        </w:tc>
        <w:tc>
          <w:tcPr>
            <w:tcW w:type="dxa" w:w="3528"/>
            <w:vAlign w:val="top"/>
            <w:shd w:fill="F2F4F7"/>
          </w:tcPr>
          <w:p>
            <w:pPr>
              <w:spacing w:after="0" w:line="264" w:lineRule="auto"/>
            </w:pPr>
            <w:r>
              <w:rPr>
                <w:rFonts w:ascii="Calibri" w:hAnsi="Calibri"/>
              </w:rPr>
            </w:r>
            <w:r>
              <w:rPr>
                <w:rFonts w:ascii="Calibri" w:hAnsi="Calibri"/>
                <w:b/>
                <w:color w:val="000000"/>
                <w:sz w:val="19"/>
              </w:rPr>
              <w:t>What was done</w:t>
            </w:r>
          </w:p>
        </w:tc>
        <w:tc>
          <w:tcPr>
            <w:tcW w:type="dxa" w:w="3600"/>
            <w:vAlign w:val="top"/>
            <w:shd w:fill="F2F4F7"/>
          </w:tcPr>
          <w:p>
            <w:pPr>
              <w:spacing w:after="0" w:line="264" w:lineRule="auto"/>
            </w:pPr>
            <w:r>
              <w:rPr>
                <w:rFonts w:ascii="Calibri" w:hAnsi="Calibri"/>
              </w:rPr>
            </w:r>
            <w:r>
              <w:rPr>
                <w:rFonts w:ascii="Calibri" w:hAnsi="Calibri"/>
                <w:b/>
                <w:color w:val="000000"/>
                <w:sz w:val="19"/>
              </w:rPr>
              <w:t>Why this method was used</w:t>
            </w:r>
          </w:p>
        </w:tc>
        <w:trPr>
          <w:tblHeader/>
        </w:trPr>
      </w:tr>
      <w:tr>
        <w:tc>
          <w:tcPr>
            <w:tcW w:type="dxa" w:w="2232"/>
            <w:vAlign w:val="top"/>
          </w:tcPr>
          <w:p>
            <w:pPr>
              <w:spacing w:after="0" w:line="264" w:lineRule="auto"/>
            </w:pPr>
            <w:r>
              <w:rPr>
                <w:rFonts w:ascii="Calibri" w:hAnsi="Calibri"/>
              </w:rPr>
            </w:r>
            <w:r>
              <w:rPr>
                <w:rFonts w:ascii="Calibri" w:hAnsi="Calibri"/>
                <w:b w:val="0"/>
                <w:sz w:val="18"/>
              </w:rPr>
              <w:t>Connectivity validation and orientation</w:t>
            </w:r>
          </w:p>
        </w:tc>
        <w:tc>
          <w:tcPr>
            <w:tcW w:type="dxa" w:w="3528"/>
            <w:vAlign w:val="top"/>
          </w:tcPr>
          <w:p>
            <w:pPr>
              <w:spacing w:after="0" w:line="264" w:lineRule="auto"/>
            </w:pPr>
            <w:r>
              <w:rPr>
                <w:rFonts w:ascii="Calibri" w:hAnsi="Calibri"/>
              </w:rPr>
            </w:r>
            <w:r>
              <w:rPr>
                <w:rFonts w:ascii="Calibri" w:hAnsi="Calibri"/>
                <w:b w:val="0"/>
                <w:sz w:val="18"/>
              </w:rPr>
              <w:t>Load the signed matrix, check shape/finite values/label alignment, and transpose to state-space orientation.</w:t>
            </w:r>
          </w:p>
        </w:tc>
        <w:tc>
          <w:tcPr>
            <w:tcW w:type="dxa" w:w="3600"/>
            <w:vAlign w:val="top"/>
          </w:tcPr>
          <w:p>
            <w:pPr>
              <w:spacing w:after="0" w:line="264" w:lineRule="auto"/>
            </w:pPr>
            <w:r>
              <w:rPr>
                <w:rFonts w:ascii="Calibri" w:hAnsi="Calibri"/>
              </w:rPr>
            </w:r>
            <w:r>
              <w:rPr>
                <w:rFonts w:ascii="Calibri" w:hAnsi="Calibri"/>
                <w:b w:val="0"/>
                <w:sz w:val="18"/>
              </w:rPr>
              <w:t>Prevents sign or sender/receiver mistakes from propagating into every later dynamical result.</w:t>
            </w:r>
          </w:p>
        </w:tc>
      </w:tr>
      <w:tr>
        <w:tc>
          <w:tcPr>
            <w:tcW w:type="dxa" w:w="2232"/>
            <w:vAlign w:val="top"/>
          </w:tcPr>
          <w:p>
            <w:pPr>
              <w:spacing w:after="0" w:line="264" w:lineRule="auto"/>
            </w:pPr>
            <w:r>
              <w:rPr>
                <w:rFonts w:ascii="Calibri" w:hAnsi="Calibri"/>
              </w:rPr>
            </w:r>
            <w:r>
              <w:rPr>
                <w:rFonts w:ascii="Calibri" w:hAnsi="Calibri"/>
                <w:b w:val="0"/>
                <w:sz w:val="18"/>
              </w:rPr>
              <w:t>Normalization</w:t>
            </w:r>
          </w:p>
        </w:tc>
        <w:tc>
          <w:tcPr>
            <w:tcW w:type="dxa" w:w="3528"/>
            <w:vAlign w:val="top"/>
          </w:tcPr>
          <w:p>
            <w:pPr>
              <w:spacing w:after="0" w:line="264" w:lineRule="auto"/>
            </w:pPr>
            <w:r>
              <w:rPr>
                <w:rFonts w:ascii="Calibri" w:hAnsi="Calibri"/>
              </w:rPr>
            </w:r>
            <w:r>
              <w:rPr>
                <w:rFonts w:ascii="Calibri" w:hAnsi="Calibri"/>
                <w:b w:val="0"/>
                <w:sz w:val="18"/>
              </w:rPr>
              <w:t>Use 95th-percentile absolute-weight scaling in the backbone workflow and spectral-radius normalization in the side-by-side mechanistic workflow.</w:t>
            </w:r>
          </w:p>
        </w:tc>
        <w:tc>
          <w:tcPr>
            <w:tcW w:type="dxa" w:w="3600"/>
            <w:vAlign w:val="top"/>
          </w:tcPr>
          <w:p>
            <w:pPr>
              <w:spacing w:after="0" w:line="264" w:lineRule="auto"/>
            </w:pPr>
            <w:r>
              <w:rPr>
                <w:rFonts w:ascii="Calibri" w:hAnsi="Calibri"/>
              </w:rPr>
            </w:r>
            <w:r>
              <w:rPr>
                <w:rFonts w:ascii="Calibri" w:hAnsi="Calibri"/>
                <w:b w:val="0"/>
                <w:sz w:val="18"/>
              </w:rPr>
              <w:t>Controls extreme weights and makes comparisons interpretable without erasing sign structure or relative connectivity.</w:t>
            </w:r>
          </w:p>
        </w:tc>
      </w:tr>
      <w:tr>
        <w:tc>
          <w:tcPr>
            <w:tcW w:type="dxa" w:w="2232"/>
            <w:vAlign w:val="top"/>
          </w:tcPr>
          <w:p>
            <w:pPr>
              <w:spacing w:after="0" w:line="264" w:lineRule="auto"/>
            </w:pPr>
            <w:r>
              <w:rPr>
                <w:rFonts w:ascii="Calibri" w:hAnsi="Calibri"/>
              </w:rPr>
            </w:r>
            <w:r>
              <w:rPr>
                <w:rFonts w:ascii="Calibri" w:hAnsi="Calibri"/>
                <w:b w:val="0"/>
                <w:sz w:val="18"/>
              </w:rPr>
              <w:t>E/I decomposition and block partitioning</w:t>
            </w:r>
          </w:p>
        </w:tc>
        <w:tc>
          <w:tcPr>
            <w:tcW w:type="dxa" w:w="3528"/>
            <w:vAlign w:val="top"/>
          </w:tcPr>
          <w:p>
            <w:pPr>
              <w:spacing w:after="0" w:line="264" w:lineRule="auto"/>
            </w:pPr>
            <w:r>
              <w:rPr>
                <w:rFonts w:ascii="Calibri" w:hAnsi="Calibri"/>
              </w:rPr>
            </w:r>
            <w:r>
              <w:rPr>
                <w:rFonts w:ascii="Calibri" w:hAnsi="Calibri"/>
                <w:b w:val="0"/>
                <w:sz w:val="18"/>
              </w:rPr>
              <w:t>Separate EE, EI, IE, and II source-to-receiver blocks using explicit netlist labels when available.</w:t>
            </w:r>
          </w:p>
        </w:tc>
        <w:tc>
          <w:tcPr>
            <w:tcW w:type="dxa" w:w="3600"/>
            <w:vAlign w:val="top"/>
          </w:tcPr>
          <w:p>
            <w:pPr>
              <w:spacing w:after="0" w:line="264" w:lineRule="auto"/>
            </w:pPr>
            <w:r>
              <w:rPr>
                <w:rFonts w:ascii="Calibri" w:hAnsi="Calibri"/>
              </w:rPr>
            </w:r>
            <w:r>
              <w:rPr>
                <w:rFonts w:ascii="Calibri" w:hAnsi="Calibri"/>
                <w:b w:val="0"/>
                <w:sz w:val="18"/>
              </w:rPr>
              <w:t>Turns the full matrix into biologically interpretable components and enables targeted tests of excitatory drive, inhibitory recruitment, and inhibitory output.</w:t>
            </w:r>
          </w:p>
        </w:tc>
      </w:tr>
      <w:tr>
        <w:tc>
          <w:tcPr>
            <w:tcW w:type="dxa" w:w="2232"/>
            <w:vAlign w:val="top"/>
          </w:tcPr>
          <w:p>
            <w:pPr>
              <w:spacing w:after="0" w:line="264" w:lineRule="auto"/>
            </w:pPr>
            <w:r>
              <w:rPr>
                <w:rFonts w:ascii="Calibri" w:hAnsi="Calibri"/>
              </w:rPr>
            </w:r>
            <w:r>
              <w:rPr>
                <w:rFonts w:ascii="Calibri" w:hAnsi="Calibri"/>
                <w:b w:val="0"/>
                <w:sz w:val="18"/>
              </w:rPr>
              <w:t>Linear dynamical system</w:t>
            </w:r>
          </w:p>
        </w:tc>
        <w:tc>
          <w:tcPr>
            <w:tcW w:type="dxa" w:w="3528"/>
            <w:vAlign w:val="top"/>
          </w:tcPr>
          <w:p>
            <w:pPr>
              <w:spacing w:after="0" w:line="264" w:lineRule="auto"/>
            </w:pPr>
            <w:r>
              <w:rPr>
                <w:rFonts w:ascii="Calibri" w:hAnsi="Calibri"/>
              </w:rPr>
            </w:r>
            <w:r>
              <w:rPr>
                <w:rFonts w:ascii="Calibri" w:hAnsi="Calibri"/>
                <w:b w:val="0"/>
                <w:sz w:val="18"/>
              </w:rPr>
              <w:t>Model propagation with dx/dt = A(g)x and simulate impulse responses using matrix exponentials.</w:t>
            </w:r>
          </w:p>
        </w:tc>
        <w:tc>
          <w:tcPr>
            <w:tcW w:type="dxa" w:w="3600"/>
            <w:vAlign w:val="top"/>
          </w:tcPr>
          <w:p>
            <w:pPr>
              <w:spacing w:after="0" w:line="264" w:lineRule="auto"/>
            </w:pPr>
            <w:r>
              <w:rPr>
                <w:rFonts w:ascii="Calibri" w:hAnsi="Calibri"/>
              </w:rPr>
            </w:r>
            <w:r>
              <w:rPr>
                <w:rFonts w:ascii="Calibri" w:hAnsi="Calibri"/>
                <w:b w:val="0"/>
                <w:sz w:val="18"/>
              </w:rPr>
              <w:t>Provides a controlled way to ask how a perturbation spreads through the signed directed network under different inhibitory strengths.</w:t>
            </w:r>
          </w:p>
        </w:tc>
      </w:tr>
      <w:tr>
        <w:tc>
          <w:tcPr>
            <w:tcW w:type="dxa" w:w="2232"/>
            <w:vAlign w:val="top"/>
          </w:tcPr>
          <w:p>
            <w:pPr>
              <w:spacing w:after="0" w:line="264" w:lineRule="auto"/>
            </w:pPr>
            <w:r>
              <w:rPr>
                <w:rFonts w:ascii="Calibri" w:hAnsi="Calibri"/>
              </w:rPr>
            </w:r>
            <w:r>
              <w:rPr>
                <w:rFonts w:ascii="Calibri" w:hAnsi="Calibri"/>
                <w:b w:val="0"/>
                <w:sz w:val="18"/>
              </w:rPr>
              <w:t>Stability and transient-growth diagnostics</w:t>
            </w:r>
          </w:p>
        </w:tc>
        <w:tc>
          <w:tcPr>
            <w:tcW w:type="dxa" w:w="3528"/>
            <w:vAlign w:val="top"/>
          </w:tcPr>
          <w:p>
            <w:pPr>
              <w:spacing w:after="0" w:line="264" w:lineRule="auto"/>
            </w:pPr>
            <w:r>
              <w:rPr>
                <w:rFonts w:ascii="Calibri" w:hAnsi="Calibri"/>
              </w:rPr>
            </w:r>
            <w:r>
              <w:rPr>
                <w:rFonts w:ascii="Calibri" w:hAnsi="Calibri"/>
                <w:b w:val="0"/>
                <w:sz w:val="18"/>
              </w:rPr>
              <w:t>Track spectral abscissa, spectral radius, numerical abscissa, and transient amplification.</w:t>
            </w:r>
          </w:p>
        </w:tc>
        <w:tc>
          <w:tcPr>
            <w:tcW w:type="dxa" w:w="3600"/>
            <w:vAlign w:val="top"/>
          </w:tcPr>
          <w:p>
            <w:pPr>
              <w:spacing w:after="0" w:line="264" w:lineRule="auto"/>
            </w:pPr>
            <w:r>
              <w:rPr>
                <w:rFonts w:ascii="Calibri" w:hAnsi="Calibri"/>
              </w:rPr>
            </w:r>
            <w:r>
              <w:rPr>
                <w:rFonts w:ascii="Calibri" w:hAnsi="Calibri"/>
                <w:b w:val="0"/>
                <w:sz w:val="18"/>
              </w:rPr>
              <w:t>Directed networks can be stable asymptotically but still amplify activity transiently; these metrics separate long-term stability from short-term gain.</w:t>
            </w:r>
          </w:p>
        </w:tc>
      </w:tr>
      <w:tr>
        <w:tc>
          <w:tcPr>
            <w:tcW w:type="dxa" w:w="2232"/>
            <w:vAlign w:val="top"/>
          </w:tcPr>
          <w:p>
            <w:pPr>
              <w:spacing w:after="0" w:line="264" w:lineRule="auto"/>
            </w:pPr>
            <w:r>
              <w:rPr>
                <w:rFonts w:ascii="Calibri" w:hAnsi="Calibri"/>
              </w:rPr>
            </w:r>
            <w:r>
              <w:rPr>
                <w:rFonts w:ascii="Calibri" w:hAnsi="Calibri"/>
                <w:b w:val="0"/>
                <w:sz w:val="18"/>
              </w:rPr>
              <w:t>Block removal and ablation</w:t>
            </w:r>
          </w:p>
        </w:tc>
        <w:tc>
          <w:tcPr>
            <w:tcW w:type="dxa" w:w="3528"/>
            <w:vAlign w:val="top"/>
          </w:tcPr>
          <w:p>
            <w:pPr>
              <w:spacing w:after="0" w:line="264" w:lineRule="auto"/>
            </w:pPr>
            <w:r>
              <w:rPr>
                <w:rFonts w:ascii="Calibri" w:hAnsi="Calibri"/>
              </w:rPr>
            </w:r>
            <w:r>
              <w:rPr>
                <w:rFonts w:ascii="Calibri" w:hAnsi="Calibri"/>
                <w:b w:val="0"/>
                <w:sz w:val="18"/>
              </w:rPr>
              <w:t>Remove EE/EI/IE/II blocks, individual inhibitory neurons, individual inhibitory edges, and motif-associated edge sets.</w:t>
            </w:r>
          </w:p>
        </w:tc>
        <w:tc>
          <w:tcPr>
            <w:tcW w:type="dxa" w:w="3600"/>
            <w:vAlign w:val="top"/>
          </w:tcPr>
          <w:p>
            <w:pPr>
              <w:spacing w:after="0" w:line="264" w:lineRule="auto"/>
            </w:pPr>
            <w:r>
              <w:rPr>
                <w:rFonts w:ascii="Calibri" w:hAnsi="Calibri"/>
              </w:rPr>
            </w:r>
            <w:r>
              <w:rPr>
                <w:rFonts w:ascii="Calibri" w:hAnsi="Calibri"/>
                <w:b w:val="0"/>
                <w:sz w:val="18"/>
              </w:rPr>
              <w:t>Perturbation converts correlation into sensitivity: if removing a component changes the response or eigenvalue, that component is mechanistically important.</w:t>
            </w:r>
          </w:p>
        </w:tc>
      </w:tr>
      <w:tr>
        <w:tc>
          <w:tcPr>
            <w:tcW w:type="dxa" w:w="2232"/>
            <w:vAlign w:val="top"/>
          </w:tcPr>
          <w:p>
            <w:pPr>
              <w:spacing w:after="0" w:line="264" w:lineRule="auto"/>
            </w:pPr>
            <w:r>
              <w:rPr>
                <w:rFonts w:ascii="Calibri" w:hAnsi="Calibri"/>
              </w:rPr>
            </w:r>
            <w:r>
              <w:rPr>
                <w:rFonts w:ascii="Calibri" w:hAnsi="Calibri"/>
                <w:b w:val="0"/>
                <w:sz w:val="18"/>
              </w:rPr>
              <w:t>Schur complement and resolvent response</w:t>
            </w:r>
          </w:p>
        </w:tc>
        <w:tc>
          <w:tcPr>
            <w:tcW w:type="dxa" w:w="3528"/>
            <w:vAlign w:val="top"/>
          </w:tcPr>
          <w:p>
            <w:pPr>
              <w:spacing w:after="0" w:line="264" w:lineRule="auto"/>
            </w:pPr>
            <w:r>
              <w:rPr>
                <w:rFonts w:ascii="Calibri" w:hAnsi="Calibri"/>
              </w:rPr>
            </w:r>
            <w:r>
              <w:rPr>
                <w:rFonts w:ascii="Calibri" w:hAnsi="Calibri"/>
                <w:b w:val="0"/>
                <w:sz w:val="18"/>
              </w:rPr>
              <w:t>Eliminate inhibitory nodes mathematically to estimate the effective E-subspace operator and rank responses to E or I stimulation.</w:t>
            </w:r>
          </w:p>
        </w:tc>
        <w:tc>
          <w:tcPr>
            <w:tcW w:type="dxa" w:w="3600"/>
            <w:vAlign w:val="top"/>
          </w:tcPr>
          <w:p>
            <w:pPr>
              <w:spacing w:after="0" w:line="264" w:lineRule="auto"/>
            </w:pPr>
            <w:r>
              <w:rPr>
                <w:rFonts w:ascii="Calibri" w:hAnsi="Calibri"/>
              </w:rPr>
            </w:r>
            <w:r>
              <w:rPr>
                <w:rFonts w:ascii="Calibri" w:hAnsi="Calibri"/>
                <w:b w:val="0"/>
                <w:sz w:val="18"/>
              </w:rPr>
              <w:t>Summarizes how inhibitory circuits feed back onto excitatory dynamics, including candidate disinhibitory effects.</w:t>
            </w:r>
          </w:p>
        </w:tc>
      </w:tr>
      <w:tr>
        <w:tc>
          <w:tcPr>
            <w:tcW w:type="dxa" w:w="2232"/>
            <w:vAlign w:val="top"/>
          </w:tcPr>
          <w:p>
            <w:pPr>
              <w:spacing w:after="0" w:line="264" w:lineRule="auto"/>
            </w:pPr>
            <w:r>
              <w:rPr>
                <w:rFonts w:ascii="Calibri" w:hAnsi="Calibri"/>
              </w:rPr>
            </w:r>
            <w:r>
              <w:rPr>
                <w:rFonts w:ascii="Calibri" w:hAnsi="Calibri"/>
                <w:b w:val="0"/>
                <w:sz w:val="18"/>
              </w:rPr>
              <w:t>Neumann expansion and chain-depth selection</w:t>
            </w:r>
          </w:p>
        </w:tc>
        <w:tc>
          <w:tcPr>
            <w:tcW w:type="dxa" w:w="3528"/>
            <w:vAlign w:val="top"/>
          </w:tcPr>
          <w:p>
            <w:pPr>
              <w:spacing w:after="0" w:line="264" w:lineRule="auto"/>
            </w:pPr>
            <w:r>
              <w:rPr>
                <w:rFonts w:ascii="Calibri" w:hAnsi="Calibri"/>
              </w:rPr>
            </w:r>
            <w:r>
              <w:rPr>
                <w:rFonts w:ascii="Calibri" w:hAnsi="Calibri"/>
                <w:b w:val="0"/>
                <w:sz w:val="18"/>
              </w:rPr>
              <w:t>Decompose inhibitory feedback into E-I-E, E-I-I-E, and longer E-I-...-E chains, then select informative depth using decay, energy, null, and spectral-tail rules.</w:t>
            </w:r>
          </w:p>
        </w:tc>
        <w:tc>
          <w:tcPr>
            <w:tcW w:type="dxa" w:w="3600"/>
            <w:vAlign w:val="top"/>
          </w:tcPr>
          <w:p>
            <w:pPr>
              <w:spacing w:after="0" w:line="264" w:lineRule="auto"/>
            </w:pPr>
            <w:r>
              <w:rPr>
                <w:rFonts w:ascii="Calibri" w:hAnsi="Calibri"/>
              </w:rPr>
            </w:r>
            <w:r>
              <w:rPr>
                <w:rFonts w:ascii="Calibri" w:hAnsi="Calibri"/>
                <w:b w:val="0"/>
                <w:sz w:val="18"/>
              </w:rPr>
              <w:t>Links global feedback effects to interpretable chain lengths and avoids assuming that only the shortest inhibitory path matters.</w:t>
            </w:r>
          </w:p>
        </w:tc>
      </w:tr>
      <w:tr>
        <w:tc>
          <w:tcPr>
            <w:tcW w:type="dxa" w:w="2232"/>
            <w:vAlign w:val="top"/>
          </w:tcPr>
          <w:p>
            <w:pPr>
              <w:spacing w:after="0" w:line="264" w:lineRule="auto"/>
            </w:pPr>
            <w:r>
              <w:rPr>
                <w:rFonts w:ascii="Calibri" w:hAnsi="Calibri"/>
              </w:rPr>
            </w:r>
            <w:r>
              <w:rPr>
                <w:rFonts w:ascii="Calibri" w:hAnsi="Calibri"/>
                <w:b w:val="0"/>
                <w:sz w:val="18"/>
              </w:rPr>
              <w:t>Motif enrichment and motif-removal stability</w:t>
            </w:r>
          </w:p>
        </w:tc>
        <w:tc>
          <w:tcPr>
            <w:tcW w:type="dxa" w:w="3528"/>
            <w:vAlign w:val="top"/>
          </w:tcPr>
          <w:p>
            <w:pPr>
              <w:spacing w:after="0" w:line="264" w:lineRule="auto"/>
            </w:pPr>
            <w:r>
              <w:rPr>
                <w:rFonts w:ascii="Calibri" w:hAnsi="Calibri"/>
              </w:rPr>
            </w:r>
            <w:r>
              <w:rPr>
                <w:rFonts w:ascii="Calibri" w:hAnsi="Calibri"/>
                <w:b w:val="0"/>
                <w:sz w:val="18"/>
              </w:rPr>
              <w:t>Count broad motif classes, compare counts with shuffled-weight nulls, and remove motif edge sets to measure stability effects.</w:t>
            </w:r>
          </w:p>
        </w:tc>
        <w:tc>
          <w:tcPr>
            <w:tcW w:type="dxa" w:w="3600"/>
            <w:vAlign w:val="top"/>
          </w:tcPr>
          <w:p>
            <w:pPr>
              <w:spacing w:after="0" w:line="264" w:lineRule="auto"/>
            </w:pPr>
            <w:r>
              <w:rPr>
                <w:rFonts w:ascii="Calibri" w:hAnsi="Calibri"/>
              </w:rPr>
            </w:r>
            <w:r>
              <w:rPr>
                <w:rFonts w:ascii="Calibri" w:hAnsi="Calibri"/>
                <w:b w:val="0"/>
                <w:sz w:val="18"/>
              </w:rPr>
              <w:t>Separates overrepresentation from function: a motif can be common without strongly changing the dynamics, or rare but influential.</w:t>
            </w:r>
          </w:p>
        </w:tc>
      </w:tr>
      <w:tr>
        <w:tc>
          <w:tcPr>
            <w:tcW w:type="dxa" w:w="2232"/>
            <w:vAlign w:val="top"/>
          </w:tcPr>
          <w:p>
            <w:pPr>
              <w:spacing w:after="0" w:line="264" w:lineRule="auto"/>
            </w:pPr>
            <w:r>
              <w:rPr>
                <w:rFonts w:ascii="Calibri" w:hAnsi="Calibri"/>
              </w:rPr>
            </w:r>
            <w:r>
              <w:rPr>
                <w:rFonts w:ascii="Calibri" w:hAnsi="Calibri"/>
                <w:b w:val="0"/>
                <w:sz w:val="18"/>
              </w:rPr>
              <w:t>Two-edge triad sensitivity</w:t>
            </w:r>
          </w:p>
        </w:tc>
        <w:tc>
          <w:tcPr>
            <w:tcW w:type="dxa" w:w="3528"/>
            <w:vAlign w:val="top"/>
          </w:tcPr>
          <w:p>
            <w:pPr>
              <w:spacing w:after="0" w:line="264" w:lineRule="auto"/>
            </w:pPr>
            <w:r>
              <w:rPr>
                <w:rFonts w:ascii="Calibri" w:hAnsi="Calibri"/>
              </w:rPr>
            </w:r>
            <w:r>
              <w:rPr>
                <w:rFonts w:ascii="Calibri" w:hAnsi="Calibri"/>
                <w:b w:val="0"/>
                <w:sz w:val="18"/>
              </w:rPr>
              <w:t>Enumerate connected three-node triads with exactly two non-self directed edges, map them to Rees/Holland-Leinhardt motif classes, then append self-connections as a sensitivity layer.</w:t>
            </w:r>
          </w:p>
        </w:tc>
        <w:tc>
          <w:tcPr>
            <w:tcW w:type="dxa" w:w="3600"/>
            <w:vAlign w:val="top"/>
          </w:tcPr>
          <w:p>
            <w:pPr>
              <w:spacing w:after="0" w:line="264" w:lineRule="auto"/>
            </w:pPr>
            <w:r>
              <w:rPr>
                <w:rFonts w:ascii="Calibri" w:hAnsi="Calibri"/>
              </w:rPr>
            </w:r>
            <w:r>
              <w:rPr>
                <w:rFonts w:ascii="Calibri" w:hAnsi="Calibri"/>
                <w:b w:val="0"/>
                <w:sz w:val="18"/>
              </w:rPr>
              <w:t>Provides a local circuit explanation while keeping diagonal terms from redefining the motif census itself.</w:t>
            </w:r>
          </w:p>
        </w:tc>
      </w:tr>
      <w:tr>
        <w:tc>
          <w:tcPr>
            <w:tcW w:type="dxa" w:w="2232"/>
            <w:vAlign w:val="top"/>
          </w:tcPr>
          <w:p>
            <w:pPr>
              <w:spacing w:after="0" w:line="264" w:lineRule="auto"/>
            </w:pPr>
            <w:r>
              <w:rPr>
                <w:rFonts w:ascii="Calibri" w:hAnsi="Calibri"/>
              </w:rPr>
            </w:r>
            <w:r>
              <w:rPr>
                <w:rFonts w:ascii="Calibri" w:hAnsi="Calibri"/>
                <w:b w:val="0"/>
                <w:sz w:val="18"/>
              </w:rPr>
              <w:t>Randomized inhibitory nulls</w:t>
            </w:r>
          </w:p>
        </w:tc>
        <w:tc>
          <w:tcPr>
            <w:tcW w:type="dxa" w:w="3528"/>
            <w:vAlign w:val="top"/>
          </w:tcPr>
          <w:p>
            <w:pPr>
              <w:spacing w:after="0" w:line="264" w:lineRule="auto"/>
            </w:pPr>
            <w:r>
              <w:rPr>
                <w:rFonts w:ascii="Calibri" w:hAnsi="Calibri"/>
              </w:rPr>
            </w:r>
            <w:r>
              <w:rPr>
                <w:rFonts w:ascii="Calibri" w:hAnsi="Calibri"/>
                <w:b w:val="0"/>
                <w:sz w:val="18"/>
              </w:rPr>
              <w:t>Randomize inhibitory targets while preserving source out-degree and outgoing inhibitory weight distributions.</w:t>
            </w:r>
          </w:p>
        </w:tc>
        <w:tc>
          <w:tcPr>
            <w:tcW w:type="dxa" w:w="3600"/>
            <w:vAlign w:val="top"/>
          </w:tcPr>
          <w:p>
            <w:pPr>
              <w:spacing w:after="0" w:line="264" w:lineRule="auto"/>
            </w:pPr>
            <w:r>
              <w:rPr>
                <w:rFonts w:ascii="Calibri" w:hAnsi="Calibri"/>
              </w:rPr>
            </w:r>
            <w:r>
              <w:rPr>
                <w:rFonts w:ascii="Calibri" w:hAnsi="Calibri"/>
                <w:b w:val="0"/>
                <w:sz w:val="18"/>
              </w:rPr>
              <w:t>Tests whether the observed inhibitory layout has unusual propagation effects relative to comparable random organizations.</w:t>
            </w:r>
          </w:p>
        </w:tc>
      </w:tr>
    </w:tbl>
    <w:p/>
    <w:p>
      <w:pPr>
        <w:pStyle w:val="Heading1"/>
        <w:spacing w:after="120" w:line="264" w:lineRule="auto"/>
      </w:pPr>
      <w:r>
        <w:rPr>
          <w:rFonts w:ascii="Calibri" w:hAnsi="Calibri"/>
        </w:rPr>
        <w:t>Preliminary Results To Discuss</w:t>
      </w:r>
    </w:p>
    <w:p>
      <w:pPr>
        <w:spacing w:after="120" w:line="264" w:lineRule="auto"/>
      </w:pPr>
      <w:r>
        <w:rPr>
          <w:rFonts w:ascii="Calibri" w:hAnsi="Calibri"/>
        </w:rPr>
        <w:t>Backbone propagation. In the validation run, the baseline terminal backbone peak at inhibitory gain g = 1 was about 1.9e-5. The randomized inhibitory-target null mean was about 7.0e-6, giving a modest Z score of 0.52. This suggests the observed inhibitory placement is not dramatically outside the current null distribution for the chosen terminal-response statistic, although the null draw count and statistic should be revisited before making a strong biological claim.</w:t>
      </w:r>
    </w:p>
    <w:p>
      <w:pPr>
        <w:spacing w:after="120" w:line="264" w:lineRule="auto"/>
      </w:pPr>
      <w:r>
        <w:rPr>
          <w:rFonts w:ascii="Calibri" w:hAnsi="Calibri"/>
        </w:rPr>
        <w:t>Candidate inhibitory gates. Single inhibitory-neuron and inhibitory-edge ablations ranked CA1 Trilaminar-linked effects highest, especially CA1 Trilaminar -&gt; SUB CA1 Projecting Pyramidal in the edge table. This should be treated as a candidate gate for advisor review rather than a final conclusion, because the ranking depends on the selected backbone order, terminal readout, and normalization.</w:t>
      </w:r>
    </w:p>
    <w:p>
      <w:pPr>
        <w:spacing w:after="120" w:line="264" w:lineRule="auto"/>
      </w:pPr>
      <w:r>
        <w:rPr>
          <w:rFonts w:ascii="Calibri" w:hAnsi="Calibri"/>
        </w:rPr>
        <w:t>Global E/I fracture screen. Removing EE strongly lowers the dominant real eigenvalue in both variants, consistent with direct excitatory structure carrying the main growth mode. Removing EI or IE increases the dominant real eigenvalue, indicating that cross E/I pathways stabilize the normalized baseline. Removing II has a much smaller direct effect in the saved block-perturbation table.</w:t>
      </w:r>
    </w:p>
    <w:p>
      <w:pPr>
        <w:spacing w:after="120" w:line="264" w:lineRule="auto"/>
      </w:pPr>
      <w:r>
        <w:rPr>
          <w:rFonts w:ascii="Calibri" w:hAnsi="Calibri"/>
        </w:rPr>
        <w:t>Schur interpretation. In the with_self variant, the direct M_EE component has spectral radius about 1.042; in the no_self variant it is about 1.172. The effective E operator returns to the normalized full-system reference near 1.0 after inhibitory feedback is included. This supports a mechanistic narrative in which inhibition reduces an otherwise stronger excitatory operator.</w:t>
      </w:r>
    </w:p>
    <w:p>
      <w:pPr>
        <w:spacing w:after="120" w:line="264" w:lineRule="auto"/>
      </w:pPr>
      <w:r>
        <w:rPr>
          <w:rFonts w:ascii="Calibri" w:hAnsi="Calibri"/>
        </w:rPr>
        <w:t>Chain-depth interpretation. The Neumann model selected order 2 for with_self and order 1 for no_self. That means diagonal/self effects can make longer I-I chain contributions more relevant, while the self-free cross-population circuit is more strongly summarized by the shortest E-I-E path.</w:t>
      </w:r>
    </w:p>
    <w:p>
      <w:pPr>
        <w:spacing w:after="120" w:line="264" w:lineRule="auto"/>
      </w:pPr>
      <w:r>
        <w:rPr>
          <w:rFonts w:ascii="Calibri" w:hAnsi="Calibri"/>
        </w:rPr>
        <w:t>Triad sensitivity. The self-free two-edge census contains 5,743 connected triads: 2,811 single-input modules, 1,644 three-node chains, and 1,288 simple-regulation motifs. Adding self-connections does not change those motif labels, but it substantially changes weight rankings, local spectral summaries, edge participation, and whole-system ablation effects. Therefore, the self-free variant should be treated as the primary topology result and the self-inclusive variant as a sensitivity analysis.</w:t>
      </w:r>
    </w:p>
    <w:p>
      <w:pPr>
        <w:pStyle w:val="Heading1"/>
        <w:spacing w:after="120" w:line="264" w:lineRule="auto"/>
      </w:pPr>
      <w:r>
        <w:rPr>
          <w:rFonts w:ascii="Calibri" w:hAnsi="Calibri"/>
        </w:rPr>
        <w:t>Interpretation For The Advisor</w:t>
      </w:r>
    </w:p>
    <w:tbl>
      <w:tblPr>
        <w:tblW w:type="dxa" w:w="9360"/>
        <w:tblLook w:firstColumn="1" w:firstRow="1" w:lastColumn="0" w:lastRow="0" w:noHBand="0" w:noVBand="1" w:val="04A0"/>
        <w:jc w:val="left"/>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120" w:type="dxa"/>
          <w:start w:w="160" w:type="dxa"/>
          <w:bottom w:w="120" w:type="dxa"/>
          <w:end w:w="160" w:type="dxa"/>
        </w:tblCellMar>
        <w:tblInd w:w="120" w:type="dxa"/>
      </w:tblPr>
      <w:tblGrid>
        <w:gridCol w:w="9360"/>
      </w:tblGrid>
      <w:tr>
        <w:tc>
          <w:tcPr>
            <w:tcW w:type="dxa" w:w="9360"/>
            <w:shd w:fill="F4F6F9"/>
          </w:tcPr>
          <w:p>
            <w:pPr>
              <w:spacing w:after="0" w:line="264" w:lineRule="auto"/>
            </w:pPr>
            <w:r>
              <w:rPr>
                <w:rFonts w:ascii="Calibri" w:hAnsi="Calibri"/>
                <w:b/>
                <w:color w:val="1F4D78"/>
                <w:sz w:val="21"/>
              </w:rPr>
              <w:t xml:space="preserve">Core interpretation: </w:t>
            </w:r>
            <w:r>
              <w:rPr>
                <w:rFonts w:ascii="Calibri" w:hAnsi="Calibri"/>
                <w:sz w:val="21"/>
              </w:rPr>
              <w:t>The project is not only asking whether inhibition is present. It is asking where inhibitory structure enters the dynamics: as direct gates along a propagation backbone, as stabilizing feedback between E and I blocks, as disinhibitory relays through I-I chains, and as local motifs whose edges can be removed or compared against null networks.</w:t>
            </w:r>
          </w:p>
        </w:tc>
        <w:trPr>
          <w:tblHeader/>
        </w:trPr>
      </w:tr>
    </w:tbl>
    <w:p/>
    <w:p>
      <w:pPr>
        <w:spacing w:after="120" w:line="264" w:lineRule="auto"/>
      </w:pPr>
      <w:r>
        <w:rPr>
          <w:rFonts w:ascii="Calibri" w:hAnsi="Calibri"/>
        </w:rPr>
        <w:t>The strongest current narrative is that the excitatory backbone supplies growth capacity, while E/I cross-block structure counterbalances that growth. The analysis then narrows the broad E/I effect into candidate inhibitory sources, explicit E-I-E and E-I-I-E paths, and local triad categories. This layered design is useful for advising because each claim can be traced to a corresponding table: propagation metrics for backbone effects, block perturbation for global structure, Schur/Neumann outputs for mechanism, and triad tables for local motif explanation.</w:t>
      </w:r>
    </w:p>
    <w:p>
      <w:pPr>
        <w:pStyle w:val="Heading1"/>
        <w:spacing w:after="120" w:line="264" w:lineRule="auto"/>
      </w:pPr>
      <w:r>
        <w:rPr>
          <w:rFonts w:ascii="Calibri" w:hAnsi="Calibri"/>
        </w:rPr>
        <w:t>Limitations And Next Steps</w:t>
      </w:r>
    </w:p>
    <w:tbl>
      <w:tblPr>
        <w:tblStyle w:val="TableGrid"/>
        <w:tblW w:type="dxa" w:w="9360"/>
        <w:tblLook w:firstColumn="1" w:firstRow="1" w:lastColumn="0" w:lastRow="0" w:noHBand="0" w:noVBand="1" w:val="04A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Layout w:type="fixed"/>
        <w:tblCellMar>
          <w:top w:w="80" w:type="dxa"/>
          <w:start w:w="120" w:type="dxa"/>
          <w:bottom w:w="80" w:type="dxa"/>
          <w:end w:w="120" w:type="dxa"/>
        </w:tblCellMar>
        <w:tblInd w:w="120" w:type="dxa"/>
      </w:tblPr>
      <w:tblGrid>
        <w:gridCol w:w="3120"/>
        <w:gridCol w:w="3120"/>
        <w:gridCol w:w="3120"/>
      </w:tblGrid>
      <w:tr>
        <w:tc>
          <w:tcPr>
            <w:tcW w:type="dxa" w:w="2232"/>
            <w:vAlign w:val="top"/>
            <w:shd w:fill="F2F4F7"/>
          </w:tcPr>
          <w:p>
            <w:pPr>
              <w:spacing w:after="0" w:line="264" w:lineRule="auto"/>
            </w:pPr>
            <w:r>
              <w:rPr>
                <w:rFonts w:ascii="Calibri" w:hAnsi="Calibri"/>
              </w:rPr>
            </w:r>
            <w:r>
              <w:rPr>
                <w:rFonts w:ascii="Calibri" w:hAnsi="Calibri"/>
                <w:b/>
                <w:color w:val="000000"/>
                <w:sz w:val="19"/>
              </w:rPr>
              <w:t>Issue</w:t>
            </w:r>
          </w:p>
        </w:tc>
        <w:tc>
          <w:tcPr>
            <w:tcW w:type="dxa" w:w="3240"/>
            <w:vAlign w:val="top"/>
            <w:shd w:fill="F2F4F7"/>
          </w:tcPr>
          <w:p>
            <w:pPr>
              <w:spacing w:after="0" w:line="264" w:lineRule="auto"/>
            </w:pPr>
            <w:r>
              <w:rPr>
                <w:rFonts w:ascii="Calibri" w:hAnsi="Calibri"/>
              </w:rPr>
            </w:r>
            <w:r>
              <w:rPr>
                <w:rFonts w:ascii="Calibri" w:hAnsi="Calibri"/>
                <w:b/>
                <w:color w:val="000000"/>
                <w:sz w:val="19"/>
              </w:rPr>
              <w:t>Why it matters</w:t>
            </w:r>
          </w:p>
        </w:tc>
        <w:tc>
          <w:tcPr>
            <w:tcW w:type="dxa" w:w="3888"/>
            <w:vAlign w:val="top"/>
            <w:shd w:fill="F2F4F7"/>
          </w:tcPr>
          <w:p>
            <w:pPr>
              <w:spacing w:after="0" w:line="264" w:lineRule="auto"/>
            </w:pPr>
            <w:r>
              <w:rPr>
                <w:rFonts w:ascii="Calibri" w:hAnsi="Calibri"/>
              </w:rPr>
            </w:r>
            <w:r>
              <w:rPr>
                <w:rFonts w:ascii="Calibri" w:hAnsi="Calibri"/>
                <w:b/>
                <w:color w:val="000000"/>
                <w:sz w:val="19"/>
              </w:rPr>
              <w:t>Recommended next step</w:t>
            </w:r>
          </w:p>
        </w:tc>
        <w:trPr>
          <w:tblHeader/>
        </w:trPr>
      </w:tr>
      <w:tr>
        <w:tc>
          <w:tcPr>
            <w:tcW w:type="dxa" w:w="2232"/>
            <w:vAlign w:val="top"/>
          </w:tcPr>
          <w:p>
            <w:pPr>
              <w:spacing w:after="0" w:line="264" w:lineRule="auto"/>
            </w:pPr>
            <w:r>
              <w:rPr>
                <w:rFonts w:ascii="Calibri" w:hAnsi="Calibri"/>
              </w:rPr>
            </w:r>
            <w:r>
              <w:rPr>
                <w:rFonts w:ascii="Calibri" w:hAnsi="Calibri"/>
                <w:b w:val="0"/>
                <w:sz w:val="18"/>
              </w:rPr>
              <w:t>Backbone ordering</w:t>
            </w:r>
          </w:p>
        </w:tc>
        <w:tc>
          <w:tcPr>
            <w:tcW w:type="dxa" w:w="3240"/>
            <w:vAlign w:val="top"/>
          </w:tcPr>
          <w:p>
            <w:pPr>
              <w:spacing w:after="0" w:line="264" w:lineRule="auto"/>
            </w:pPr>
            <w:r>
              <w:rPr>
                <w:rFonts w:ascii="Calibri" w:hAnsi="Calibri"/>
              </w:rPr>
            </w:r>
            <w:r>
              <w:rPr>
                <w:rFonts w:ascii="Calibri" w:hAnsi="Calibri"/>
                <w:b w:val="0"/>
                <w:sz w:val="18"/>
              </w:rPr>
              <w:t>Propagation and terminal-response metrics depend on the assumed ordering of populations.</w:t>
            </w:r>
          </w:p>
        </w:tc>
        <w:tc>
          <w:tcPr>
            <w:tcW w:type="dxa" w:w="3888"/>
            <w:vAlign w:val="top"/>
          </w:tcPr>
          <w:p>
            <w:pPr>
              <w:spacing w:after="0" w:line="264" w:lineRule="auto"/>
            </w:pPr>
            <w:r>
              <w:rPr>
                <w:rFonts w:ascii="Calibri" w:hAnsi="Calibri"/>
              </w:rPr>
            </w:r>
            <w:r>
              <w:rPr>
                <w:rFonts w:ascii="Calibri" w:hAnsi="Calibri"/>
                <w:b w:val="0"/>
                <w:sz w:val="18"/>
              </w:rPr>
              <w:t>Confirm whether the current label order should be replaced by a biologically or graph-theoretically defined Hamiltonian/backbone order.</w:t>
            </w:r>
          </w:p>
        </w:tc>
      </w:tr>
      <w:tr>
        <w:tc>
          <w:tcPr>
            <w:tcW w:type="dxa" w:w="2232"/>
            <w:vAlign w:val="top"/>
          </w:tcPr>
          <w:p>
            <w:pPr>
              <w:spacing w:after="0" w:line="264" w:lineRule="auto"/>
            </w:pPr>
            <w:r>
              <w:rPr>
                <w:rFonts w:ascii="Calibri" w:hAnsi="Calibri"/>
              </w:rPr>
            </w:r>
            <w:r>
              <w:rPr>
                <w:rFonts w:ascii="Calibri" w:hAnsi="Calibri"/>
                <w:b w:val="0"/>
                <w:sz w:val="18"/>
              </w:rPr>
              <w:t>Null-model strength</w:t>
            </w:r>
          </w:p>
        </w:tc>
        <w:tc>
          <w:tcPr>
            <w:tcW w:type="dxa" w:w="3240"/>
            <w:vAlign w:val="top"/>
          </w:tcPr>
          <w:p>
            <w:pPr>
              <w:spacing w:after="0" w:line="264" w:lineRule="auto"/>
            </w:pPr>
            <w:r>
              <w:rPr>
                <w:rFonts w:ascii="Calibri" w:hAnsi="Calibri"/>
              </w:rPr>
            </w:r>
            <w:r>
              <w:rPr>
                <w:rFonts w:ascii="Calibri" w:hAnsi="Calibri"/>
                <w:b w:val="0"/>
                <w:sz w:val="18"/>
              </w:rPr>
              <w:t>Some null sections are configured for quick iteration rather than final inference.</w:t>
            </w:r>
          </w:p>
        </w:tc>
        <w:tc>
          <w:tcPr>
            <w:tcW w:type="dxa" w:w="3888"/>
            <w:vAlign w:val="top"/>
          </w:tcPr>
          <w:p>
            <w:pPr>
              <w:spacing w:after="0" w:line="264" w:lineRule="auto"/>
            </w:pPr>
            <w:r>
              <w:rPr>
                <w:rFonts w:ascii="Calibri" w:hAnsi="Calibri"/>
              </w:rPr>
            </w:r>
            <w:r>
              <w:rPr>
                <w:rFonts w:ascii="Calibri" w:hAnsi="Calibri"/>
                <w:b w:val="0"/>
                <w:sz w:val="18"/>
              </w:rPr>
              <w:t>Increase N_NULL and report confidence intervals or empirical p-values before manuscript or presentation use.</w:t>
            </w:r>
          </w:p>
        </w:tc>
      </w:tr>
      <w:tr>
        <w:tc>
          <w:tcPr>
            <w:tcW w:type="dxa" w:w="2232"/>
            <w:vAlign w:val="top"/>
          </w:tcPr>
          <w:p>
            <w:pPr>
              <w:spacing w:after="0" w:line="264" w:lineRule="auto"/>
            </w:pPr>
            <w:r>
              <w:rPr>
                <w:rFonts w:ascii="Calibri" w:hAnsi="Calibri"/>
              </w:rPr>
            </w:r>
            <w:r>
              <w:rPr>
                <w:rFonts w:ascii="Calibri" w:hAnsi="Calibri"/>
                <w:b w:val="0"/>
                <w:sz w:val="18"/>
              </w:rPr>
              <w:t>Normalization sensitivity</w:t>
            </w:r>
          </w:p>
        </w:tc>
        <w:tc>
          <w:tcPr>
            <w:tcW w:type="dxa" w:w="3240"/>
            <w:vAlign w:val="top"/>
          </w:tcPr>
          <w:p>
            <w:pPr>
              <w:spacing w:after="0" w:line="264" w:lineRule="auto"/>
            </w:pPr>
            <w:r>
              <w:rPr>
                <w:rFonts w:ascii="Calibri" w:hAnsi="Calibri"/>
              </w:rPr>
            </w:r>
            <w:r>
              <w:rPr>
                <w:rFonts w:ascii="Calibri" w:hAnsi="Calibri"/>
                <w:b w:val="0"/>
                <w:sz w:val="18"/>
              </w:rPr>
              <w:t>Different normalization choices emphasize different scales of connectivity.</w:t>
            </w:r>
          </w:p>
        </w:tc>
        <w:tc>
          <w:tcPr>
            <w:tcW w:type="dxa" w:w="3888"/>
            <w:vAlign w:val="top"/>
          </w:tcPr>
          <w:p>
            <w:pPr>
              <w:spacing w:after="0" w:line="264" w:lineRule="auto"/>
            </w:pPr>
            <w:r>
              <w:rPr>
                <w:rFonts w:ascii="Calibri" w:hAnsi="Calibri"/>
              </w:rPr>
            </w:r>
            <w:r>
              <w:rPr>
                <w:rFonts w:ascii="Calibri" w:hAnsi="Calibri"/>
                <w:b w:val="0"/>
                <w:sz w:val="18"/>
              </w:rPr>
              <w:t>Repeat headline block, Schur, and ablation results under at least one alternate normalization.</w:t>
            </w:r>
          </w:p>
        </w:tc>
      </w:tr>
      <w:tr>
        <w:tc>
          <w:tcPr>
            <w:tcW w:type="dxa" w:w="2232"/>
            <w:vAlign w:val="top"/>
          </w:tcPr>
          <w:p>
            <w:pPr>
              <w:spacing w:after="0" w:line="264" w:lineRule="auto"/>
            </w:pPr>
            <w:r>
              <w:rPr>
                <w:rFonts w:ascii="Calibri" w:hAnsi="Calibri"/>
              </w:rPr>
            </w:r>
            <w:r>
              <w:rPr>
                <w:rFonts w:ascii="Calibri" w:hAnsi="Calibri"/>
                <w:b w:val="0"/>
                <w:sz w:val="18"/>
              </w:rPr>
              <w:t>Self-connections</w:t>
            </w:r>
          </w:p>
        </w:tc>
        <w:tc>
          <w:tcPr>
            <w:tcW w:type="dxa" w:w="3240"/>
            <w:vAlign w:val="top"/>
          </w:tcPr>
          <w:p>
            <w:pPr>
              <w:spacing w:after="0" w:line="264" w:lineRule="auto"/>
            </w:pPr>
            <w:r>
              <w:rPr>
                <w:rFonts w:ascii="Calibri" w:hAnsi="Calibri"/>
              </w:rPr>
            </w:r>
            <w:r>
              <w:rPr>
                <w:rFonts w:ascii="Calibri" w:hAnsi="Calibri"/>
                <w:b w:val="0"/>
                <w:sz w:val="18"/>
              </w:rPr>
              <w:t>Diagonal terms can dominate local spectral and ablation summaries without changing motif labels.</w:t>
            </w:r>
          </w:p>
        </w:tc>
        <w:tc>
          <w:tcPr>
            <w:tcW w:type="dxa" w:w="3888"/>
            <w:vAlign w:val="top"/>
          </w:tcPr>
          <w:p>
            <w:pPr>
              <w:spacing w:after="0" w:line="264" w:lineRule="auto"/>
            </w:pPr>
            <w:r>
              <w:rPr>
                <w:rFonts w:ascii="Calibri" w:hAnsi="Calibri"/>
              </w:rPr>
            </w:r>
            <w:r>
              <w:rPr>
                <w:rFonts w:ascii="Calibri" w:hAnsi="Calibri"/>
                <w:b w:val="0"/>
                <w:sz w:val="18"/>
              </w:rPr>
              <w:t>Present self-free results as primary cross-population circuitry and self-inclusive results as sensitivity checks.</w:t>
            </w:r>
          </w:p>
        </w:tc>
      </w:tr>
      <w:tr>
        <w:tc>
          <w:tcPr>
            <w:tcW w:type="dxa" w:w="2232"/>
            <w:vAlign w:val="top"/>
          </w:tcPr>
          <w:p>
            <w:pPr>
              <w:spacing w:after="0" w:line="264" w:lineRule="auto"/>
            </w:pPr>
            <w:r>
              <w:rPr>
                <w:rFonts w:ascii="Calibri" w:hAnsi="Calibri"/>
              </w:rPr>
            </w:r>
            <w:r>
              <w:rPr>
                <w:rFonts w:ascii="Calibri" w:hAnsi="Calibri"/>
                <w:b w:val="0"/>
                <w:sz w:val="18"/>
              </w:rPr>
              <w:t>Biological validation</w:t>
            </w:r>
          </w:p>
        </w:tc>
        <w:tc>
          <w:tcPr>
            <w:tcW w:type="dxa" w:w="3240"/>
            <w:vAlign w:val="top"/>
          </w:tcPr>
          <w:p>
            <w:pPr>
              <w:spacing w:after="0" w:line="264" w:lineRule="auto"/>
            </w:pPr>
            <w:r>
              <w:rPr>
                <w:rFonts w:ascii="Calibri" w:hAnsi="Calibri"/>
              </w:rPr>
            </w:r>
            <w:r>
              <w:rPr>
                <w:rFonts w:ascii="Calibri" w:hAnsi="Calibri"/>
                <w:b w:val="0"/>
                <w:sz w:val="18"/>
              </w:rPr>
              <w:t>Candidate gates and motifs need interpretation against known hippocampal anatomy.</w:t>
            </w:r>
          </w:p>
        </w:tc>
        <w:tc>
          <w:tcPr>
            <w:tcW w:type="dxa" w:w="3888"/>
            <w:vAlign w:val="top"/>
          </w:tcPr>
          <w:p>
            <w:pPr>
              <w:spacing w:after="0" w:line="264" w:lineRule="auto"/>
            </w:pPr>
            <w:r>
              <w:rPr>
                <w:rFonts w:ascii="Calibri" w:hAnsi="Calibri"/>
              </w:rPr>
            </w:r>
            <w:r>
              <w:rPr>
                <w:rFonts w:ascii="Calibri" w:hAnsi="Calibri"/>
                <w:b w:val="0"/>
                <w:sz w:val="18"/>
              </w:rPr>
              <w:t>Ask the advisor which candidate populations and pathways should be prioritized for literature comparison or follow-up simulation.</w:t>
            </w:r>
          </w:p>
        </w:tc>
      </w:tr>
    </w:tbl>
    <w:p/>
    <w:p>
      <w:pPr>
        <w:pStyle w:val="Heading1"/>
        <w:spacing w:after="120" w:line="264" w:lineRule="auto"/>
      </w:pPr>
      <w:r>
        <w:rPr>
          <w:rFonts w:ascii="Calibri" w:hAnsi="Calibri"/>
        </w:rPr>
        <w:t>Suggested Discussion Questions</w:t>
      </w:r>
    </w:p>
    <w:p>
      <w:pPr>
        <w:pStyle w:val="ListNumber"/>
        <w:spacing w:after="80"/>
      </w:pPr>
      <w:r>
        <w:rPr>
          <w:rFonts w:ascii="Calibri" w:hAnsi="Calibri"/>
        </w:rPr>
        <w:t>Should the project define a biologically grounded backbone order before treating terminal propagation as a primary outcome?</w:t>
      </w:r>
    </w:p>
    <w:p>
      <w:pPr>
        <w:pStyle w:val="ListNumber"/>
        <w:spacing w:after="80"/>
      </w:pPr>
      <w:r>
        <w:rPr>
          <w:rFonts w:ascii="Calibri" w:hAnsi="Calibri"/>
        </w:rPr>
        <w:t>Which result should be considered the main claim: global E/I stabilization, candidate inhibitory gates, disinhibitory chain structure, or motif organization?</w:t>
      </w:r>
    </w:p>
    <w:p>
      <w:pPr>
        <w:pStyle w:val="ListNumber"/>
        <w:spacing w:after="80"/>
      </w:pPr>
      <w:r>
        <w:rPr>
          <w:rFonts w:ascii="Calibri" w:hAnsi="Calibri"/>
        </w:rPr>
        <w:t>Should the self-free variant be the default for interpretation, with self-connections shown only as sensitivity?</w:t>
      </w:r>
    </w:p>
    <w:p>
      <w:pPr>
        <w:pStyle w:val="ListNumber"/>
        <w:spacing w:after="80"/>
      </w:pPr>
      <w:r>
        <w:rPr>
          <w:rFonts w:ascii="Calibri" w:hAnsi="Calibri"/>
        </w:rPr>
        <w:t>What null model is most biologically appropriate: target rewiring, weight shuffling, degree-preserving rewiring, or class-preserving rewiring?</w:t>
      </w:r>
    </w:p>
    <w:p>
      <w:pPr>
        <w:pStyle w:val="ListNumber"/>
        <w:spacing w:after="80"/>
      </w:pPr>
      <w:r>
        <w:rPr>
          <w:rFonts w:ascii="Calibri" w:hAnsi="Calibri"/>
        </w:rPr>
        <w:t>Which candidate populations should be compared with published hippocampal circuit literature first?</w:t>
      </w:r>
    </w:p>
    <w:p>
      <w:pPr>
        <w:pStyle w:val="Heading1"/>
        <w:spacing w:after="120" w:line="264" w:lineRule="auto"/>
      </w:pPr>
      <w:r>
        <w:rPr>
          <w:rFonts w:ascii="Calibri" w:hAnsi="Calibri"/>
        </w:rPr>
        <w:t>Reference Files Used</w:t>
      </w:r>
    </w:p>
    <w:p>
      <w:pPr>
        <w:spacing w:after="120" w:line="264" w:lineRule="auto"/>
      </w:pPr>
      <w:r>
        <w:rPr>
          <w:rFonts w:ascii="Calibri" w:hAnsi="Calibri"/>
        </w:rPr>
        <w:t>This summary was prepared from README.md, matrices/mij_matrix.csv, matrices/mij_netlist.csv, notebooks/01_inhibitory_modulation_backbone_workflow.ipynb, notebooks/02_inhibitory_modulation_analysis.ipynb, notebooks/03_inhibitory_two_edge_triad_sensitivity.ipynb, notebooks/inhibitory_modulation.py, and the saved CSV/PNG outputs under outputs/.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555555"/>
        <w:sz w:val="18"/>
      </w:rPr>
      <w:t>inhib_modulation project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Inhibitory Modulation Project Summary</dc:title>
  <dc:subject>Advisor submission brief</dc:subject>
  <dc:creator>python-docx</dc:creator>
  <cp:keywords>inhibitory modulation, hippocampal connectivity, Schur complement, E/I dynamics, motif analysis</cp:keywords>
  <dc:description>generated by python-docx</dc:description>
  <cp:lastModifiedBy/>
  <cp:revision>1</cp:revision>
  <dcterms:created xsi:type="dcterms:W3CDTF">2013-12-23T23:15:00Z</dcterms:created>
  <dcterms:modified xsi:type="dcterms:W3CDTF">2013-12-23T23:15:00Z</dcterms:modified>
  <cp:category/>
</cp:coreProperties>
</file>