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schur_decomp Project and Methods Brief</w:t>
      </w:r>
    </w:p>
    <w:p>
      <w:pPr>
        <w:spacing w:after="240"/>
      </w:pPr>
      <w:r>
        <w:rPr>
          <w:color w:val="5A5A5A"/>
          <w:sz w:val="22"/>
        </w:rPr>
        <w:t>Prepared for advisor review | Project status: organized analytical notebook suite</w:t>
      </w:r>
    </w:p>
    <w:p>
      <w:pPr>
        <w:spacing w:after="200"/>
        <w:pBdr>
          <w:bottom w:val="single" w:sz="6" w:space="1" w:color="D9E2EC"/>
        </w:pBdr>
      </w:pPr>
    </w:p>
    <w:p>
      <w:pPr>
        <w:pStyle w:val="Heading1"/>
      </w:pPr>
      <w:r>
        <w:t>Executive summary</w:t>
      </w:r>
    </w:p>
    <w:p>
      <w:r>
        <w:t>The schur_decomp project is a reproducible analysis suite for studying directed hippocampal-entorhinal cell-type connectivity through Schur decomposition, eigenmode analysis, signal propagation, inhibitory modulation, and linear-systems tools. The current organization emphasizes one consistent matrix convention, reusable external Python modules, and a numbered notebook sequence that can be run and reviewed in order.</w:t>
      </w:r>
    </w:p>
    <w:p>
      <w:r>
        <w:t>The main methodological idea is to treat the Mij connectivity matrix as a directed source-to-receiver network, convert it into a receiver-by-source state-update matrix, and use Schur-based modal coordinates to separate intrinsic network modes from the upper-triangular coupling among modes. This is useful because the Schur basis remains numerically stable for non-normal directed matrices and preserves mode-to-mode coupling information that ordinary eigenvector inspection can obscure.</w:t>
      </w:r>
    </w:p>
    <w:p>
      <w:pPr>
        <w:pStyle w:val="Heading1"/>
      </w:pPr>
      <w:r>
        <w:t>Project goals</w:t>
      </w:r>
    </w:p>
    <w:p>
      <w:pPr>
        <w:pStyle w:val="ListBullet"/>
        <w:spacing w:after="80"/>
      </w:pPr>
      <w:r>
        <w:t>Establish a consistent orientation for Mij so that matrix operations match the biological source-to-receiver interpretation.</w:t>
      </w:r>
    </w:p>
    <w:p>
      <w:pPr>
        <w:pStyle w:val="ListBullet"/>
        <w:spacing w:after="80"/>
      </w:pPr>
      <w:r>
        <w:t>Characterize dominant eigenmodes and Schur modes of the hippocampal-entorhinal connectivity network.</w:t>
      </w:r>
    </w:p>
    <w:p>
      <w:pPr>
        <w:pStyle w:val="ListBullet"/>
        <w:spacing w:after="80"/>
      </w:pPr>
      <w:r>
        <w:t>Quantify how signal initiated in Schur modes propagates across cell types and anatomical regions.</w:t>
      </w:r>
    </w:p>
    <w:p>
      <w:pPr>
        <w:pStyle w:val="ListBullet"/>
        <w:spacing w:after="80"/>
      </w:pPr>
      <w:r>
        <w:t>Evaluate how inhibitory populations, inhibitory motifs, and disinhibitory chains shape effective excitatory dynamics.</w:t>
      </w:r>
    </w:p>
    <w:p>
      <w:pPr>
        <w:pStyle w:val="ListBullet"/>
        <w:spacing w:after="80"/>
      </w:pPr>
      <w:r>
        <w:t>Compare all major analyses under matched with-self and no-self normalization to evaluate the influence of self-connections.</w:t>
      </w:r>
    </w:p>
    <w:p>
      <w:pPr>
        <w:pStyle w:val="ListBullet"/>
        <w:spacing w:after="80"/>
      </w:pPr>
      <w:r>
        <w:t>Keep notebooks readable by moving long functions into external scripts and consolidating shared utilities.</w:t>
      </w:r>
    </w:p>
    <w:p>
      <w:pPr>
        <w:pStyle w:val="Heading1"/>
      </w:pPr>
      <w:r>
        <w:t>Data and matrix convention</w:t>
      </w:r>
    </w:p>
    <w:p>
      <w:r>
        <w:t>The canonical inputs are matrices/mij_matrix.csv and matrices/mij_netlist.csv. The raw Mij table is interpreted as source cell types in rows and receiver cell types in columns. For state-update and linear algebra analyses, the matrix is transposed into M[receiver, source], so that x[t + 1] = M @ x[t] and a column corresponds to outgoing influence from a source cell type.</w:t>
      </w:r>
    </w:p>
    <w:p>
      <w:r>
        <w:t>This orientation step is important because the analyses are directional. Without it, source and receiver roles can be silently reversed, changing the biological interpretation of eigenvectors, Schur-mode loadings, paths, and transfer channels.</w:t>
      </w:r>
    </w:p>
    <w:p>
      <w:pPr>
        <w:pStyle w:val="Heading1"/>
      </w:pPr>
      <w:r>
        <w:t>Methods used and rationale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What it does</w:t>
            </w:r>
          </w:p>
        </w:tc>
        <w:tc>
          <w:tcPr>
            <w:tcW w:type="dxa" w:w="36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Why it is used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Corrected Schur decomposition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Computes A = Q T Q* on the oriented state matrix. The diagonal of T contains eigenvalues; the upper-triangular entries encode mode-to-mode coupling.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Appropriate for directed, non-normal networks because it is numerically stable and preserves transient/modal coupling that eigenvalues alone do not capture.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Eigenmode analysis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Identifies dominant eigenvalues/eigenvectors and upstream Schur modes, then inspects cell-type contributors.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Provides a foundation for interpreting intrinsic network modes before downstream propagation or perturbation analyses.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Spectral-radius normalization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Scales with-self and no-self variants independently to matched target spectral radii, usually 0.95 for propagation/linear systems and 0.85 for inhibitory stable-response analyses.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Makes dynamic comparisons stable and comparable while preserving the relative structure within each matrix variant.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With-self vs no-self comparison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Repeats analyses after zeroing the diagonal before normalization.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Separates effects driven by recurrent self-connections from effects driven by inter-cell-type network structure.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 signal propagation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Seeds Schur modes and propagates signals through the triangular Schur cascade, then summarizes cell-type and region-level signals.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Connects abstract Schur modes to interpretable biological populations and regions.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Greedy mode subnetworks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Builds top-contributor subnetworks and greedy information-flow trees for individual Schur modes.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Provides a compact structural explanation of which source-to-receiver paths dominate a mode.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 complement for inhibitory modulation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Partitions E/I populations and eliminates inhibitory nodes to estimate effective excitatory dynamics, with block perturbations and motif/Neumann-chain summaries.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Targets the mechanistic question of how inhibitory pathways stabilize, amplify, or redirect network activity.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Linear-systems analyses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9"/>
              </w:rPr>
              <w:t>Uses matrix power paths, controllability Gramians, and frequency response on the oriented network.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Provides a companion systems perspective on reachability, state diffusion, and input-output transfer channels.</w:t>
            </w:r>
          </w:p>
        </w:tc>
      </w:tr>
    </w:tbl>
    <w:p>
      <w:pPr>
        <w:spacing w:after="80"/>
      </w:pPr>
    </w:p>
    <w:p>
      <w:pPr>
        <w:pStyle w:val="Heading1"/>
      </w:pPr>
      <w:r>
        <w:t>Notebook sequence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Notebook</w:t>
            </w:r>
          </w:p>
        </w:tc>
        <w:tc>
          <w:tcPr>
            <w:tcW w:type="dxa" w:w="64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Role in the project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01_schur_eigenmodes.ipynb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Foundational Schur/eigenmode analysis; validates orientation, spectrum, dominant mode, and coupling map.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02_schur_eigenmodes_compare.ipynb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Matched with-self vs no-self comparison for the core modal structure.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03_schur_signal.ipynb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Main reader-facing Schur signal propagation analysis across modes, cell types, and regions.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04_schur_signal_compare.ipynb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Matched with-self vs no-self comparison for propagation summaries.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05_schur_greedy_trees.ipynb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Mode-specific top-contributor subnetworks and greedy information-flow trees.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06_[reserved].ipynb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Reserved for the next Schur-mode notebook to be added later.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07_inhibitory_modulation.ipynb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Inhibitory Schur complement, block perturbation, motif enrichment, and Neumann-chain analysis.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08_inhibitory_compare.ipynb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Matched with-self vs no-self comparison for inhibitory modulation analyses.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09_linear_systems.ipynb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Unmasked linear-systems companion: structural paths, controllability, and frequency response.</w:t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10_linear_systems_compare.ipynb</w:t>
            </w:r>
          </w:p>
        </w:tc>
        <w:tc>
          <w:tcPr>
            <w:tcW w:type="dxa" w:w="64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Matched with-self vs no-self comparison for linear-systems results.</w:t>
            </w:r>
          </w:p>
        </w:tc>
      </w:tr>
    </w:tbl>
    <w:p>
      <w:pPr>
        <w:spacing w:after="80"/>
      </w:pPr>
    </w:p>
    <w:p>
      <w:pPr>
        <w:pStyle w:val="Heading1"/>
      </w:pPr>
      <w:r>
        <w:t>Code organization and reproducibility</w:t>
      </w:r>
    </w:p>
    <w:p>
      <w:r>
        <w:t>The project now follows a clean notebook convention: notebooks are intended to be readable analytical narratives, while longer functions live in external Python modules. Shared functionality has been consolidated into schur_core_script.py so that matrix loading, orientation, E/I inference, label formatting, region parsing, normalization, spectral diagnostics, and with-self/no-self variants are reused consistently across analyses.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Module</w:t>
            </w:r>
          </w:p>
        </w:tc>
        <w:tc>
          <w:tcPr>
            <w:tcW w:type="dxa" w:w="6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Responsibility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schur_core_script.py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Shared project core: Mij loading, orientation, E/I metadata, labels, regions, normalization, spectral summaries, and matrix variants.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schur_analysis_utils_script.py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Eigenmode and Schur-analysis utilities: decomposition, validation, mode ordering, dominant-mode plots, coupling tables, and transient dynamics.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schur_signal_propagation_script.py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Schur-mode propagation utilities: model preparation, seeding, propagation, cell-type summaries, region summaries, and exports.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schur_mode_greedy_trees_script.py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Top-contributor subnetworks and greedy flow-tree construction for individual Schur modes.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inhibitory_schur_modulation_script.py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E/I block analyses, Schur complement calculations, motif enrichment, Neumann chains, and inhibitory comparison outputs.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19"/>
              </w:rPr>
              <w:t>network_linear_systems_tools_script.py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Matrix power paths, controllability Gramians, frequency response, and matched self-comparison utilities.</w:t>
            </w:r>
          </w:p>
        </w:tc>
      </w:tr>
    </w:tbl>
    <w:p>
      <w:pPr>
        <w:spacing w:after="80"/>
      </w:pPr>
    </w:p>
    <w:p>
      <w:pPr>
        <w:pStyle w:val="Heading1"/>
      </w:pPr>
      <w:r>
        <w:t>Current outputs and archival state</w:t>
      </w:r>
    </w:p>
    <w:p>
      <w:r>
        <w:t>Generated tables and intermediate exports are stored under outputs/. Non-canonical CSV files were moved into outputs/moved_csv/, while the canonical input files remain in matrices/. Superseded exploratory notebooks and older individual with-self/no-self notebooks have been moved into archive/ so the active folder reflects the intended notebook sequence.</w:t>
      </w:r>
    </w:p>
    <w:p>
      <w:pPr>
        <w:pStyle w:val="Heading1"/>
      </w:pPr>
      <w:r>
        <w:t>Interpretive cautions</w:t>
      </w:r>
    </w:p>
    <w:p>
      <w:pPr>
        <w:pStyle w:val="ListBullet"/>
        <w:spacing w:after="80"/>
      </w:pPr>
      <w:r>
        <w:t>Schur modes are mathematically well-defined modal coordinates, but biological interpretation should focus on robust loadings, region summaries, and comparisons across analysis variants rather than any single complex mode in isolation.</w:t>
      </w:r>
    </w:p>
    <w:p>
      <w:pPr>
        <w:pStyle w:val="ListBullet"/>
        <w:spacing w:after="80"/>
      </w:pPr>
      <w:r>
        <w:t>Normalization is necessary for stable dynamic comparisons, but it changes absolute weight scale. Results should therefore be interpreted as normalized structural/dynamical patterns, not raw synaptic magnitude estimates.</w:t>
      </w:r>
    </w:p>
    <w:p>
      <w:pPr>
        <w:pStyle w:val="ListBullet"/>
        <w:spacing w:after="80"/>
      </w:pPr>
      <w:r>
        <w:t>With-self and no-self variants are normalized independently. This makes dynamic behavior comparable, but it means raw diagonal mass is not the only quantity being changed.</w:t>
      </w:r>
    </w:p>
    <w:p>
      <w:pPr>
        <w:pStyle w:val="ListBullet"/>
        <w:spacing w:after="80"/>
      </w:pPr>
      <w:r>
        <w:t>The analyses are deterministic and reproducible from the local CSV inputs, but conclusions should be cross-checked against biological priors and any future metadata refinements.</w:t>
      </w:r>
    </w:p>
    <w:p>
      <w:pPr>
        <w:pStyle w:val="Heading1"/>
      </w:pPr>
      <w:r>
        <w:t>Recommended next steps</w:t>
      </w:r>
    </w:p>
    <w:p>
      <w:pPr>
        <w:pStyle w:val="ListBullet"/>
        <w:spacing w:after="80"/>
      </w:pPr>
      <w:r>
        <w:t>Add the planned notebook in the reserved 06 slot once its analysis question is defined.</w:t>
      </w:r>
    </w:p>
    <w:p>
      <w:pPr>
        <w:pStyle w:val="ListBullet"/>
        <w:spacing w:after="80"/>
      </w:pPr>
      <w:r>
        <w:t>Write a short top-level README that mirrors the notebook order and points readers to the canonical inputs and outputs.</w:t>
      </w:r>
    </w:p>
    <w:p>
      <w:pPr>
        <w:pStyle w:val="ListBullet"/>
        <w:spacing w:after="80"/>
      </w:pPr>
      <w:r>
        <w:t>Add concise takeaways at the top of each notebook after final interpretation is complete.</w:t>
      </w:r>
    </w:p>
    <w:p>
      <w:pPr>
        <w:pStyle w:val="ListBullet"/>
        <w:spacing w:after="80"/>
      </w:pPr>
      <w:r>
        <w:t>Consider a final summary notebook or report that compares the main findings across eigenmodes, propagation, inhibitory modulation, and linear-systems analyses.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schur_decomp project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schur_decomp Project and Methods Brief</dc:title>
  <dc:subject>Project methods summary for advisor review</dc:subject>
  <dc:creator>schur_decomp analysis team</dc:creator>
  <cp:keywords>Schur decomposition, eigenmodes, signal propagation, inhibitory modulation, linear systems, Mij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