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000000"/>
          <w:sz w:val="46"/>
        </w:rPr>
        <w:t>INHIBITORY MODULATION VIA SCHUR COMPLEMENT ANALYSIS</w:t>
      </w:r>
    </w:p>
    <w:p>
      <w:pPr>
        <w:spacing w:after="320"/>
      </w:pPr>
      <w:r>
        <w:rPr>
          <w:rFonts w:ascii="Calibri" w:hAnsi="Calibri"/>
          <w:color w:val="373737"/>
          <w:sz w:val="28"/>
        </w:rPr>
        <w:t>Project brief for advisor review</w:t>
      </w:r>
    </w:p>
    <w:p>
      <w:pPr>
        <w:spacing w:after="40"/>
      </w:pPr>
      <w:r>
        <w:rPr>
          <w:rFonts w:ascii="Calibri" w:hAnsi="Calibri"/>
          <w:b/>
        </w:rPr>
        <w:t xml:space="preserve">Project: </w:t>
      </w:r>
      <w:r>
        <w:rPr>
          <w:rFonts w:ascii="Calibri" w:hAnsi="Calibri"/>
        </w:rPr>
        <w:t>inhib_modulation / inhibitory_schur_modulation</w:t>
      </w:r>
    </w:p>
    <w:p>
      <w:pPr>
        <w:spacing w:after="40"/>
      </w:pPr>
      <w:r>
        <w:rPr>
          <w:rFonts w:ascii="Calibri" w:hAnsi="Calibri"/>
          <w:b/>
        </w:rPr>
        <w:t xml:space="preserve">Prepared for: </w:t>
      </w:r>
      <w:r>
        <w:rPr>
          <w:rFonts w:ascii="Calibri" w:hAnsi="Calibri"/>
        </w:rPr>
        <w:t>Advisor review</w:t>
      </w:r>
    </w:p>
    <w:p>
      <w:pPr>
        <w:spacing w:after="40"/>
      </w:pPr>
      <w:r>
        <w:rPr>
          <w:rFonts w:ascii="Calibri" w:hAnsi="Calibri"/>
          <w:b/>
        </w:rPr>
        <w:t xml:space="preserve">Prepared by: </w:t>
      </w:r>
      <w:r>
        <w:rPr>
          <w:rFonts w:ascii="Calibri" w:hAnsi="Calibri"/>
        </w:rPr>
        <w:t>[Name]</w:t>
      </w:r>
    </w:p>
    <w:p>
      <w:pPr>
        <w:spacing w:after="40"/>
      </w:pPr>
      <w:r>
        <w:rPr>
          <w:rFonts w:ascii="Calibri" w:hAnsi="Calibri"/>
          <w:b/>
        </w:rPr>
        <w:t xml:space="preserve">Date: </w:t>
      </w:r>
      <w:r>
        <w:rPr>
          <w:rFonts w:ascii="Calibri" w:hAnsi="Calibri"/>
        </w:rPr>
        <w:t>August 24, 2026</w:t>
      </w:r>
    </w:p>
    <w:p>
      <w:pPr>
        <w:spacing w:after="40"/>
      </w:pPr>
      <w:r>
        <w:rPr>
          <w:rFonts w:ascii="Calibri" w:hAnsi="Calibri"/>
          <w:b/>
        </w:rPr>
        <w:t xml:space="preserve">Primary data: </w:t>
      </w:r>
      <w:r>
        <w:rPr>
          <w:rFonts w:ascii="Calibri" w:hAnsi="Calibri"/>
        </w:rPr>
        <w:t>matrices/mij_matrix.csv and matrices/mij_netlist.csv</w:t>
      </w:r>
    </w:p>
    <w:p>
      <w:pPr>
        <w:spacing w:after="40"/>
      </w:pPr>
      <w:r>
        <w:rPr>
          <w:rFonts w:ascii="Calibri" w:hAnsi="Calibri"/>
          <w:b/>
        </w:rPr>
        <w:t xml:space="preserve">Analysis outputs: </w:t>
      </w:r>
      <w:r>
        <w:rPr>
          <w:rFonts w:ascii="Calibri" w:hAnsi="Calibri"/>
        </w:rPr>
        <w:t>outputs/inhibitory_schur_modulation</w:t>
      </w:r>
    </w:p>
    <w:p>
      <w:pPr>
        <w:pStyle w:val="Heading1"/>
        <w:spacing w:before="320" w:after="160"/>
      </w:pPr>
      <w:r>
        <w:rPr>
          <w:rFonts w:ascii="Calibri" w:hAnsi="Calibri"/>
          <w:b/>
          <w:color w:val="2E74B5"/>
          <w:sz w:val="32"/>
        </w:rPr>
        <w:t>Executive Summary</w:t>
      </w:r>
    </w:p>
    <w:p>
      <w:pPr>
        <w:spacing w:before="0" w:after="120" w:line="264" w:lineRule="auto"/>
      </w:pPr>
      <w:r>
        <w:rPr>
          <w:rFonts w:ascii="Calibri" w:hAnsi="Calibri"/>
          <w:color w:val="141414"/>
        </w:rPr>
        <w:t>This project asks how inhibitory circuitry modulates the stability and propagation structure of a signed, directed, weighted hippocampal connectivity matrix. The analysis treats the network as a discrete linear system, partitions neurons into excitatory and inhibitory populations, and uses Schur complement reduction to express the effective excitatory dynamics after mathematically eliminating inhibitory nodes.</w:t>
      </w:r>
    </w:p>
    <w:p>
      <w:pPr>
        <w:spacing w:before="0" w:after="120" w:line="264" w:lineRule="auto"/>
      </w:pPr>
      <w:r>
        <w:rPr>
          <w:rFonts w:ascii="Calibri" w:hAnsi="Calibri"/>
          <w:color w:val="141414"/>
        </w:rPr>
        <w:t>The main result is that direct excitatory recurrence is the dominant source of growth in the linearized network, while inhibitory routing acts as a stabilizing and modulatory interface. In both self-connection and no-self variants, removing the E-to-E block strongly decreases the dominant real eigenvalue. Removing the E/I interface instead increases the dominant real eigenvalue, consistent with inhibitory feedback suppressing or shaping the excitatory mode.</w:t>
      </w:r>
    </w:p>
    <w:p>
      <w:pPr>
        <w:pStyle w:val="ListBullet"/>
        <w:spacing w:after="120" w:line="280" w:lineRule="auto"/>
      </w:pPr>
      <w:r>
        <w:rPr>
          <w:rFonts w:ascii="Calibri" w:hAnsi="Calibri"/>
          <w:color w:val="141414"/>
        </w:rPr>
        <w:t>The matrix contains 85 cell classes, with 32 excitatory and 53 inhibitory classes.</w:t>
      </w:r>
    </w:p>
    <w:p>
      <w:pPr>
        <w:pStyle w:val="ListBullet"/>
        <w:spacing w:after="120" w:line="280" w:lineRule="auto"/>
      </w:pPr>
      <w:r>
        <w:rPr>
          <w:rFonts w:ascii="Calibri" w:hAnsi="Calibri"/>
          <w:color w:val="141414"/>
        </w:rPr>
        <w:t>The current matrix has 1,641 nonzero directed weights, for 22.7% density.</w:t>
      </w:r>
    </w:p>
    <w:p>
      <w:pPr>
        <w:pStyle w:val="ListBullet"/>
        <w:spacing w:after="120" w:line="280" w:lineRule="auto"/>
      </w:pPr>
      <w:r>
        <w:rPr>
          <w:rFonts w:ascii="Calibri" w:hAnsi="Calibri"/>
          <w:color w:val="141414"/>
        </w:rPr>
        <w:t>The analysis compares with-self and no-self variants so diagonal/self effects do not drive the interpretation.</w:t>
      </w:r>
    </w:p>
    <w:p>
      <w:pPr>
        <w:pStyle w:val="Heading1"/>
        <w:spacing w:before="320" w:after="160"/>
      </w:pPr>
      <w:r>
        <w:rPr>
          <w:rFonts w:ascii="Calibri" w:hAnsi="Calibri"/>
          <w:b/>
          <w:color w:val="2E74B5"/>
          <w:sz w:val="32"/>
        </w:rPr>
        <w:t>Project Purpose</w:t>
      </w:r>
    </w:p>
    <w:p>
      <w:pPr>
        <w:spacing w:before="0" w:after="120" w:line="264" w:lineRule="auto"/>
      </w:pPr>
      <w:r>
        <w:rPr>
          <w:rFonts w:ascii="Calibri" w:hAnsi="Calibri"/>
          <w:color w:val="141414"/>
        </w:rPr>
        <w:t>The scientific goal is to identify which inhibitory motifs and cell classes regulate the dominant network mode, rather than simply ranking strong synaptic weights. The project therefore combines spectral stability diagnostics with explicit circuit motifs. The result is a bridge between linear systems analysis and biologically interpretable inhibitory pathways.</w:t>
      </w:r>
    </w:p>
    <w:p>
      <w:pPr>
        <w:spacing w:before="0" w:after="120" w:line="264" w:lineRule="auto"/>
      </w:pPr>
      <w:r>
        <w:rPr>
          <w:rFonts w:ascii="Calibri" w:hAnsi="Calibri"/>
          <w:color w:val="141414"/>
        </w:rPr>
        <w:t>In practical terms, the project produces a reusable workflow for asking whether candidate inhibitory routes behave as stabilizing feedback, disinhibitory relays, or minor local structure. The output tables identify both broad circuit blocks and specific candidate cell classes for follow-up inspection.</w:t>
      </w:r>
    </w:p>
    <w:p>
      <w:pPr>
        <w:pStyle w:val="Heading1"/>
        <w:spacing w:before="320" w:after="160"/>
      </w:pPr>
      <w:r>
        <w:rPr>
          <w:rFonts w:ascii="Calibri" w:hAnsi="Calibri"/>
          <w:b/>
          <w:color w:val="2E74B5"/>
          <w:sz w:val="32"/>
        </w:rPr>
        <w:t>Data Representation</w:t>
      </w:r>
    </w:p>
    <w:p>
      <w:pPr>
        <w:spacing w:before="0" w:after="120" w:line="264" w:lineRule="auto"/>
      </w:pPr>
      <w:r>
        <w:rPr>
          <w:rFonts w:ascii="Calibri" w:hAnsi="Calibri"/>
          <w:color w:val="141414"/>
        </w:rPr>
        <w:t>The raw CSV stores rows as sources and columns as receivers. The analysis transposes this table into the state convention M[receiver, source], so the linear update is x[t + 1] = M x[t]. Under this convention, each column is an outgoing source channel and each row is an incoming receiver channel.</w:t>
      </w:r>
    </w:p>
    <w:p>
      <w:pPr>
        <w:spacing w:before="0" w:after="120" w:line="264" w:lineRule="auto"/>
      </w:pPr>
      <w:r>
        <w:rPr>
          <w:rFonts w:ascii="Calibri" w:hAnsi="Calibri"/>
          <w:color w:val="141414"/>
        </w:rPr>
        <w:t>E/I labels are recovered from the netlist metadata. If metadata are missing, the code can infer labels from the sign pattern of each source row; this is a fallback, not the preferred path. Blocks are named source-to-receiver: EE, EI, IE, and II.</w:t>
      </w:r>
    </w:p>
    <w:tbl>
      <w:tblPr>
        <w:tblStyle w:val="TableGrid"/>
        <w:tblW w:type="dxa" w:w="9360"/>
        <w:jc w:val="left"/>
        <w:tblLayout w:type="fixed"/>
        <w:tblLook w:firstColumn="1" w:firstRow="1" w:lastColumn="0" w:lastRow="0" w:noHBand="0" w:noVBand="1" w:val="04A0"/>
        <w:tblInd w:w="120" w:type="dxa"/>
      </w:tblPr>
      <w:tblGrid>
        <w:gridCol w:w="900"/>
        <w:gridCol w:w="3000"/>
        <w:gridCol w:w="5460"/>
      </w:tblGrid>
      <w:tr>
        <w:tc>
          <w:tcPr>
            <w:tcW w:type="dxa" w:w="900"/>
            <w:shd w:fill="F2F4F7"/>
            <w:tcMar>
              <w:top w:w="80" w:type="dxa"/>
              <w:start w:w="120" w:type="dxa"/>
              <w:bottom w:w="80" w:type="dxa"/>
              <w:end w:w="120" w:type="dxa"/>
            </w:tcMar>
            <w:vAlign w:val="top"/>
          </w:tcPr>
          <w:p>
            <w:pPr>
              <w:spacing w:after="0"/>
            </w:pPr>
            <w:r>
              <w:rPr>
                <w:rFonts w:ascii="Calibri" w:hAnsi="Calibri"/>
                <w:b/>
                <w:color w:val="141414"/>
              </w:rPr>
              <w:t>Block</w:t>
            </w:r>
          </w:p>
        </w:tc>
        <w:tc>
          <w:tcPr>
            <w:tcW w:type="dxa" w:w="3000"/>
            <w:shd w:fill="F2F4F7"/>
            <w:tcMar>
              <w:top w:w="80" w:type="dxa"/>
              <w:start w:w="120" w:type="dxa"/>
              <w:bottom w:w="80" w:type="dxa"/>
              <w:end w:w="120" w:type="dxa"/>
            </w:tcMar>
            <w:vAlign w:val="top"/>
          </w:tcPr>
          <w:p>
            <w:pPr>
              <w:spacing w:after="0"/>
            </w:pPr>
            <w:r>
              <w:rPr>
                <w:rFonts w:ascii="Calibri" w:hAnsi="Calibri"/>
                <w:b/>
                <w:color w:val="141414"/>
              </w:rPr>
              <w:t>Meaning</w:t>
            </w:r>
          </w:p>
        </w:tc>
        <w:tc>
          <w:tcPr>
            <w:tcW w:type="dxa" w:w="5460"/>
            <w:shd w:fill="F2F4F7"/>
            <w:tcMar>
              <w:top w:w="80" w:type="dxa"/>
              <w:start w:w="120" w:type="dxa"/>
              <w:bottom w:w="80" w:type="dxa"/>
              <w:end w:w="120" w:type="dxa"/>
            </w:tcMar>
            <w:vAlign w:val="top"/>
          </w:tcPr>
          <w:p>
            <w:pPr>
              <w:spacing w:after="0"/>
            </w:pPr>
            <w:r>
              <w:rPr>
                <w:rFonts w:ascii="Calibri" w:hAnsi="Calibri"/>
                <w:b/>
                <w:color w:val="141414"/>
              </w:rPr>
              <w:t>Why it matters</w:t>
            </w:r>
          </w:p>
        </w:tc>
      </w:tr>
      <w:tr>
        <w:tc>
          <w:tcPr>
            <w:tcW w:type="dxa" w:w="900"/>
            <w:tcMar>
              <w:top w:w="80" w:type="dxa"/>
              <w:start w:w="120" w:type="dxa"/>
              <w:bottom w:w="80" w:type="dxa"/>
              <w:end w:w="120" w:type="dxa"/>
            </w:tcMar>
            <w:vAlign w:val="top"/>
          </w:tcPr>
          <w:p>
            <w:pPr>
              <w:spacing w:after="0"/>
            </w:pPr>
            <w:r>
              <w:rPr>
                <w:rFonts w:ascii="Calibri" w:hAnsi="Calibri"/>
                <w:color w:val="141414"/>
              </w:rPr>
              <w:t>EE</w:t>
            </w:r>
          </w:p>
        </w:tc>
        <w:tc>
          <w:tcPr>
            <w:tcW w:type="dxa" w:w="3000"/>
            <w:tcMar>
              <w:top w:w="80" w:type="dxa"/>
              <w:start w:w="120" w:type="dxa"/>
              <w:bottom w:w="80" w:type="dxa"/>
              <w:end w:w="120" w:type="dxa"/>
            </w:tcMar>
            <w:vAlign w:val="top"/>
          </w:tcPr>
          <w:p>
            <w:pPr>
              <w:spacing w:after="0"/>
            </w:pPr>
            <w:r>
              <w:rPr>
                <w:rFonts w:ascii="Calibri" w:hAnsi="Calibri"/>
                <w:color w:val="141414"/>
              </w:rPr>
              <w:t>Excitatory source -&gt; excitatory receiver</w:t>
            </w:r>
          </w:p>
        </w:tc>
        <w:tc>
          <w:tcPr>
            <w:tcW w:type="dxa" w:w="5460"/>
            <w:tcMar>
              <w:top w:w="80" w:type="dxa"/>
              <w:start w:w="120" w:type="dxa"/>
              <w:bottom w:w="80" w:type="dxa"/>
              <w:end w:w="120" w:type="dxa"/>
            </w:tcMar>
            <w:vAlign w:val="top"/>
          </w:tcPr>
          <w:p>
            <w:pPr>
              <w:spacing w:after="0"/>
            </w:pPr>
            <w:r>
              <w:rPr>
                <w:rFonts w:ascii="Calibri" w:hAnsi="Calibri"/>
                <w:color w:val="141414"/>
              </w:rPr>
              <w:t>Direct recurrent excitation and principal amplification route.</w:t>
            </w:r>
          </w:p>
        </w:tc>
      </w:tr>
      <w:tr>
        <w:tc>
          <w:tcPr>
            <w:tcW w:type="dxa" w:w="900"/>
            <w:tcMar>
              <w:top w:w="80" w:type="dxa"/>
              <w:start w:w="120" w:type="dxa"/>
              <w:bottom w:w="80" w:type="dxa"/>
              <w:end w:w="120" w:type="dxa"/>
            </w:tcMar>
            <w:vAlign w:val="top"/>
          </w:tcPr>
          <w:p>
            <w:pPr>
              <w:spacing w:after="0"/>
            </w:pPr>
            <w:r>
              <w:rPr>
                <w:rFonts w:ascii="Calibri" w:hAnsi="Calibri"/>
                <w:color w:val="141414"/>
              </w:rPr>
              <w:t>EI</w:t>
            </w:r>
          </w:p>
        </w:tc>
        <w:tc>
          <w:tcPr>
            <w:tcW w:type="dxa" w:w="3000"/>
            <w:tcMar>
              <w:top w:w="80" w:type="dxa"/>
              <w:start w:w="120" w:type="dxa"/>
              <w:bottom w:w="80" w:type="dxa"/>
              <w:end w:w="120" w:type="dxa"/>
            </w:tcMar>
            <w:vAlign w:val="top"/>
          </w:tcPr>
          <w:p>
            <w:pPr>
              <w:spacing w:after="0"/>
            </w:pPr>
            <w:r>
              <w:rPr>
                <w:rFonts w:ascii="Calibri" w:hAnsi="Calibri"/>
                <w:color w:val="141414"/>
              </w:rPr>
              <w:t>Excitatory source -&gt; inhibitory receiver</w:t>
            </w:r>
          </w:p>
        </w:tc>
        <w:tc>
          <w:tcPr>
            <w:tcW w:type="dxa" w:w="5460"/>
            <w:tcMar>
              <w:top w:w="80" w:type="dxa"/>
              <w:start w:w="120" w:type="dxa"/>
              <w:bottom w:w="80" w:type="dxa"/>
              <w:end w:w="120" w:type="dxa"/>
            </w:tcMar>
            <w:vAlign w:val="top"/>
          </w:tcPr>
          <w:p>
            <w:pPr>
              <w:spacing w:after="0"/>
            </w:pPr>
            <w:r>
              <w:rPr>
                <w:rFonts w:ascii="Calibri" w:hAnsi="Calibri"/>
                <w:color w:val="141414"/>
              </w:rPr>
              <w:t>Recruitment of inhibitory cells by excitatory activity.</w:t>
            </w:r>
          </w:p>
        </w:tc>
      </w:tr>
      <w:tr>
        <w:tc>
          <w:tcPr>
            <w:tcW w:type="dxa" w:w="900"/>
            <w:tcMar>
              <w:top w:w="80" w:type="dxa"/>
              <w:start w:w="120" w:type="dxa"/>
              <w:bottom w:w="80" w:type="dxa"/>
              <w:end w:w="120" w:type="dxa"/>
            </w:tcMar>
            <w:vAlign w:val="top"/>
          </w:tcPr>
          <w:p>
            <w:pPr>
              <w:spacing w:after="0"/>
            </w:pPr>
            <w:r>
              <w:rPr>
                <w:rFonts w:ascii="Calibri" w:hAnsi="Calibri"/>
                <w:color w:val="141414"/>
              </w:rPr>
              <w:t>IE</w:t>
            </w:r>
          </w:p>
        </w:tc>
        <w:tc>
          <w:tcPr>
            <w:tcW w:type="dxa" w:w="3000"/>
            <w:tcMar>
              <w:top w:w="80" w:type="dxa"/>
              <w:start w:w="120" w:type="dxa"/>
              <w:bottom w:w="80" w:type="dxa"/>
              <w:end w:w="120" w:type="dxa"/>
            </w:tcMar>
            <w:vAlign w:val="top"/>
          </w:tcPr>
          <w:p>
            <w:pPr>
              <w:spacing w:after="0"/>
            </w:pPr>
            <w:r>
              <w:rPr>
                <w:rFonts w:ascii="Calibri" w:hAnsi="Calibri"/>
                <w:color w:val="141414"/>
              </w:rPr>
              <w:t>Inhibitory source -&gt; excitatory receiver</w:t>
            </w:r>
          </w:p>
        </w:tc>
        <w:tc>
          <w:tcPr>
            <w:tcW w:type="dxa" w:w="5460"/>
            <w:tcMar>
              <w:top w:w="80" w:type="dxa"/>
              <w:start w:w="120" w:type="dxa"/>
              <w:bottom w:w="80" w:type="dxa"/>
              <w:end w:w="120" w:type="dxa"/>
            </w:tcMar>
            <w:vAlign w:val="top"/>
          </w:tcPr>
          <w:p>
            <w:pPr>
              <w:spacing w:after="0"/>
            </w:pPr>
            <w:r>
              <w:rPr>
                <w:rFonts w:ascii="Calibri" w:hAnsi="Calibri"/>
                <w:color w:val="141414"/>
              </w:rPr>
              <w:t>Feedback from inhibitory cells onto excitatory cells.</w:t>
            </w:r>
          </w:p>
        </w:tc>
      </w:tr>
      <w:tr>
        <w:tc>
          <w:tcPr>
            <w:tcW w:type="dxa" w:w="900"/>
            <w:tcMar>
              <w:top w:w="80" w:type="dxa"/>
              <w:start w:w="120" w:type="dxa"/>
              <w:bottom w:w="80" w:type="dxa"/>
              <w:end w:w="120" w:type="dxa"/>
            </w:tcMar>
            <w:vAlign w:val="top"/>
          </w:tcPr>
          <w:p>
            <w:pPr>
              <w:spacing w:after="0"/>
            </w:pPr>
            <w:r>
              <w:rPr>
                <w:rFonts w:ascii="Calibri" w:hAnsi="Calibri"/>
                <w:color w:val="141414"/>
              </w:rPr>
              <w:t>II</w:t>
            </w:r>
          </w:p>
        </w:tc>
        <w:tc>
          <w:tcPr>
            <w:tcW w:type="dxa" w:w="3000"/>
            <w:tcMar>
              <w:top w:w="80" w:type="dxa"/>
              <w:start w:w="120" w:type="dxa"/>
              <w:bottom w:w="80" w:type="dxa"/>
              <w:end w:w="120" w:type="dxa"/>
            </w:tcMar>
            <w:vAlign w:val="top"/>
          </w:tcPr>
          <w:p>
            <w:pPr>
              <w:spacing w:after="0"/>
            </w:pPr>
            <w:r>
              <w:rPr>
                <w:rFonts w:ascii="Calibri" w:hAnsi="Calibri"/>
                <w:color w:val="141414"/>
              </w:rPr>
              <w:t>Inhibitory source -&gt; inhibitory receiver</w:t>
            </w:r>
          </w:p>
        </w:tc>
        <w:tc>
          <w:tcPr>
            <w:tcW w:type="dxa" w:w="5460"/>
            <w:tcMar>
              <w:top w:w="80" w:type="dxa"/>
              <w:start w:w="120" w:type="dxa"/>
              <w:bottom w:w="80" w:type="dxa"/>
              <w:end w:w="120" w:type="dxa"/>
            </w:tcMar>
            <w:vAlign w:val="top"/>
          </w:tcPr>
          <w:p>
            <w:pPr>
              <w:spacing w:after="0"/>
            </w:pPr>
            <w:r>
              <w:rPr>
                <w:rFonts w:ascii="Calibri" w:hAnsi="Calibri"/>
                <w:color w:val="141414"/>
              </w:rPr>
              <w:t>Internal inhibitory chaining that enables disinhibition.</w:t>
            </w:r>
          </w:p>
        </w:tc>
      </w:tr>
    </w:tbl>
    <w:p>
      <w:pPr>
        <w:spacing w:after="40"/>
      </w:pPr>
    </w:p>
    <w:p>
      <w:pPr>
        <w:pStyle w:val="Heading1"/>
        <w:spacing w:before="320" w:after="160"/>
      </w:pPr>
      <w:r>
        <w:rPr>
          <w:rFonts w:ascii="Calibri" w:hAnsi="Calibri"/>
          <w:b/>
          <w:color w:val="2E74B5"/>
          <w:sz w:val="32"/>
        </w:rPr>
        <w:t>Methods and Rationale</w:t>
      </w:r>
    </w:p>
    <w:tbl>
      <w:tblPr>
        <w:tblStyle w:val="TableGrid"/>
        <w:tblW w:type="dxa" w:w="9360"/>
        <w:jc w:val="left"/>
        <w:tblLayout w:type="fixed"/>
        <w:tblLook w:firstColumn="1" w:firstRow="1" w:lastColumn="0" w:lastRow="0" w:noHBand="0" w:noVBand="1" w:val="04A0"/>
        <w:tblInd w:w="120" w:type="dxa"/>
      </w:tblPr>
      <w:tblGrid>
        <w:gridCol w:w="1700"/>
        <w:gridCol w:w="3600"/>
        <w:gridCol w:w="4060"/>
      </w:tblGrid>
      <w:tr>
        <w:tc>
          <w:tcPr>
            <w:tcW w:type="dxa" w:w="1700"/>
            <w:shd w:fill="F2F4F7"/>
            <w:tcMar>
              <w:top w:w="80" w:type="dxa"/>
              <w:start w:w="120" w:type="dxa"/>
              <w:bottom w:w="80" w:type="dxa"/>
              <w:end w:w="120" w:type="dxa"/>
            </w:tcMar>
            <w:vAlign w:val="top"/>
          </w:tcPr>
          <w:p>
            <w:pPr>
              <w:spacing w:after="0"/>
            </w:pPr>
            <w:r>
              <w:rPr>
                <w:rFonts w:ascii="Calibri" w:hAnsi="Calibri"/>
                <w:b/>
                <w:color w:val="141414"/>
              </w:rPr>
              <w:t>Method</w:t>
            </w:r>
          </w:p>
        </w:tc>
        <w:tc>
          <w:tcPr>
            <w:tcW w:type="dxa" w:w="3600"/>
            <w:shd w:fill="F2F4F7"/>
            <w:tcMar>
              <w:top w:w="80" w:type="dxa"/>
              <w:start w:w="120" w:type="dxa"/>
              <w:bottom w:w="80" w:type="dxa"/>
              <w:end w:w="120" w:type="dxa"/>
            </w:tcMar>
            <w:vAlign w:val="top"/>
          </w:tcPr>
          <w:p>
            <w:pPr>
              <w:spacing w:after="0"/>
            </w:pPr>
            <w:r>
              <w:rPr>
                <w:rFonts w:ascii="Calibri" w:hAnsi="Calibri"/>
                <w:b/>
                <w:color w:val="141414"/>
              </w:rPr>
              <w:t>What was done</w:t>
            </w:r>
          </w:p>
        </w:tc>
        <w:tc>
          <w:tcPr>
            <w:tcW w:type="dxa" w:w="4060"/>
            <w:shd w:fill="F2F4F7"/>
            <w:tcMar>
              <w:top w:w="80" w:type="dxa"/>
              <w:start w:w="120" w:type="dxa"/>
              <w:bottom w:w="80" w:type="dxa"/>
              <w:end w:w="120" w:type="dxa"/>
            </w:tcMar>
            <w:vAlign w:val="top"/>
          </w:tcPr>
          <w:p>
            <w:pPr>
              <w:spacing w:after="0"/>
            </w:pPr>
            <w:r>
              <w:rPr>
                <w:rFonts w:ascii="Calibri" w:hAnsi="Calibri"/>
                <w:b/>
                <w:color w:val="141414"/>
              </w:rPr>
              <w:t>Why this method was used</w:t>
            </w:r>
          </w:p>
        </w:tc>
      </w:tr>
      <w:tr>
        <w:tc>
          <w:tcPr>
            <w:tcW w:type="dxa" w:w="1700"/>
            <w:tcMar>
              <w:top w:w="80" w:type="dxa"/>
              <w:start w:w="120" w:type="dxa"/>
              <w:bottom w:w="80" w:type="dxa"/>
              <w:end w:w="120" w:type="dxa"/>
            </w:tcMar>
            <w:vAlign w:val="top"/>
          </w:tcPr>
          <w:p>
            <w:pPr>
              <w:spacing w:after="0"/>
            </w:pPr>
            <w:r>
              <w:rPr>
                <w:rFonts w:ascii="Calibri" w:hAnsi="Calibri"/>
                <w:color w:val="141414"/>
              </w:rPr>
              <w:t>Matrix normalization</w:t>
            </w:r>
          </w:p>
        </w:tc>
        <w:tc>
          <w:tcPr>
            <w:tcW w:type="dxa" w:w="3600"/>
            <w:tcMar>
              <w:top w:w="80" w:type="dxa"/>
              <w:start w:w="120" w:type="dxa"/>
              <w:bottom w:w="80" w:type="dxa"/>
              <w:end w:w="120" w:type="dxa"/>
            </w:tcMar>
            <w:vAlign w:val="top"/>
          </w:tcPr>
          <w:p>
            <w:pPr>
              <w:spacing w:after="0"/>
            </w:pPr>
            <w:r>
              <w:rPr>
                <w:rFonts w:ascii="Calibri" w:hAnsi="Calibri"/>
                <w:color w:val="141414"/>
              </w:rPr>
              <w:t>Each variant is independently spectral-radius normalized.</w:t>
            </w:r>
          </w:p>
        </w:tc>
        <w:tc>
          <w:tcPr>
            <w:tcW w:type="dxa" w:w="4060"/>
            <w:tcMar>
              <w:top w:w="80" w:type="dxa"/>
              <w:start w:w="120" w:type="dxa"/>
              <w:bottom w:w="80" w:type="dxa"/>
              <w:end w:w="120" w:type="dxa"/>
            </w:tcMar>
            <w:vAlign w:val="top"/>
          </w:tcPr>
          <w:p>
            <w:pPr>
              <w:spacing w:after="0"/>
            </w:pPr>
            <w:r>
              <w:rPr>
                <w:rFonts w:ascii="Calibri" w:hAnsi="Calibri"/>
                <w:color w:val="141414"/>
              </w:rPr>
              <w:t>This makes with-self and no-self variants comparable by putting them on the same stability scale before perturbation and resolvent calculations.</w:t>
            </w:r>
          </w:p>
        </w:tc>
      </w:tr>
      <w:tr>
        <w:tc>
          <w:tcPr>
            <w:tcW w:type="dxa" w:w="1700"/>
            <w:tcMar>
              <w:top w:w="80" w:type="dxa"/>
              <w:start w:w="120" w:type="dxa"/>
              <w:bottom w:w="80" w:type="dxa"/>
              <w:end w:w="120" w:type="dxa"/>
            </w:tcMar>
            <w:vAlign w:val="top"/>
          </w:tcPr>
          <w:p>
            <w:pPr>
              <w:spacing w:after="0"/>
            </w:pPr>
            <w:r>
              <w:rPr>
                <w:rFonts w:ascii="Calibri" w:hAnsi="Calibri"/>
                <w:color w:val="141414"/>
              </w:rPr>
              <w:t>Dominant eigenvalue diagnostics</w:t>
            </w:r>
          </w:p>
        </w:tc>
        <w:tc>
          <w:tcPr>
            <w:tcW w:type="dxa" w:w="3600"/>
            <w:tcMar>
              <w:top w:w="80" w:type="dxa"/>
              <w:start w:w="120" w:type="dxa"/>
              <w:bottom w:w="80" w:type="dxa"/>
              <w:end w:w="120" w:type="dxa"/>
            </w:tcMar>
            <w:vAlign w:val="top"/>
          </w:tcPr>
          <w:p>
            <w:pPr>
              <w:spacing w:after="0"/>
            </w:pPr>
            <w:r>
              <w:rPr>
                <w:rFonts w:ascii="Calibri" w:hAnsi="Calibri"/>
                <w:color w:val="141414"/>
              </w:rPr>
              <w:t>The spectral radius and dominant real eigenvalue summarize whether a block increases or suppresses growth in the linearized dynamics.</w:t>
            </w:r>
          </w:p>
        </w:tc>
        <w:tc>
          <w:tcPr>
            <w:tcW w:type="dxa" w:w="4060"/>
            <w:tcMar>
              <w:top w:w="80" w:type="dxa"/>
              <w:start w:w="120" w:type="dxa"/>
              <w:bottom w:w="80" w:type="dxa"/>
              <w:end w:w="120" w:type="dxa"/>
            </w:tcMar>
            <w:vAlign w:val="top"/>
          </w:tcPr>
          <w:p>
            <w:pPr>
              <w:spacing w:after="0"/>
            </w:pPr>
            <w:r>
              <w:rPr>
                <w:rFonts w:ascii="Calibri" w:hAnsi="Calibri"/>
                <w:color w:val="141414"/>
              </w:rPr>
              <w:t>The dominant mode is the cleanest first-order summary of network stability and amplification.</w:t>
            </w:r>
          </w:p>
        </w:tc>
      </w:tr>
      <w:tr>
        <w:tc>
          <w:tcPr>
            <w:tcW w:type="dxa" w:w="1700"/>
            <w:tcMar>
              <w:top w:w="80" w:type="dxa"/>
              <w:start w:w="120" w:type="dxa"/>
              <w:bottom w:w="80" w:type="dxa"/>
              <w:end w:w="120" w:type="dxa"/>
            </w:tcMar>
            <w:vAlign w:val="top"/>
          </w:tcPr>
          <w:p>
            <w:pPr>
              <w:spacing w:after="0"/>
            </w:pPr>
            <w:r>
              <w:rPr>
                <w:rFonts w:ascii="Calibri" w:hAnsi="Calibri"/>
                <w:color w:val="141414"/>
              </w:rPr>
              <w:t>Block-removal perturbation</w:t>
            </w:r>
          </w:p>
        </w:tc>
        <w:tc>
          <w:tcPr>
            <w:tcW w:type="dxa" w:w="3600"/>
            <w:tcMar>
              <w:top w:w="80" w:type="dxa"/>
              <w:start w:w="120" w:type="dxa"/>
              <w:bottom w:w="80" w:type="dxa"/>
              <w:end w:w="120" w:type="dxa"/>
            </w:tcMar>
            <w:vAlign w:val="top"/>
          </w:tcPr>
          <w:p>
            <w:pPr>
              <w:spacing w:after="0"/>
            </w:pPr>
            <w:r>
              <w:rPr>
                <w:rFonts w:ascii="Calibri" w:hAnsi="Calibri"/>
                <w:color w:val="141414"/>
              </w:rPr>
              <w:t>Each E/I block is zeroed and the exact dominant eigenvalue shift is compared with a first-order eigenvalue estimate.</w:t>
            </w:r>
          </w:p>
        </w:tc>
        <w:tc>
          <w:tcPr>
            <w:tcW w:type="dxa" w:w="4060"/>
            <w:tcMar>
              <w:top w:w="80" w:type="dxa"/>
              <w:start w:w="120" w:type="dxa"/>
              <w:bottom w:w="80" w:type="dxa"/>
              <w:end w:w="120" w:type="dxa"/>
            </w:tcMar>
            <w:vAlign w:val="top"/>
          </w:tcPr>
          <w:p>
            <w:pPr>
              <w:spacing w:after="0"/>
            </w:pPr>
            <w:r>
              <w:rPr>
                <w:rFonts w:ascii="Calibri" w:hAnsi="Calibri"/>
                <w:color w:val="141414"/>
              </w:rPr>
              <w:t>This turns broad connectivity classes into causal perturbation tests rather than descriptive counts.</w:t>
            </w:r>
          </w:p>
        </w:tc>
      </w:tr>
      <w:tr>
        <w:tc>
          <w:tcPr>
            <w:tcW w:type="dxa" w:w="1700"/>
            <w:tcMar>
              <w:top w:w="80" w:type="dxa"/>
              <w:start w:w="120" w:type="dxa"/>
              <w:bottom w:w="80" w:type="dxa"/>
              <w:end w:w="120" w:type="dxa"/>
            </w:tcMar>
            <w:vAlign w:val="top"/>
          </w:tcPr>
          <w:p>
            <w:pPr>
              <w:spacing w:after="0"/>
            </w:pPr>
            <w:r>
              <w:rPr>
                <w:rFonts w:ascii="Calibri" w:hAnsi="Calibri"/>
                <w:color w:val="141414"/>
              </w:rPr>
              <w:t>Schur complement reduction</w:t>
            </w:r>
          </w:p>
        </w:tc>
        <w:tc>
          <w:tcPr>
            <w:tcW w:type="dxa" w:w="3600"/>
            <w:tcMar>
              <w:top w:w="80" w:type="dxa"/>
              <w:start w:w="120" w:type="dxa"/>
              <w:bottom w:w="80" w:type="dxa"/>
              <w:end w:w="120" w:type="dxa"/>
            </w:tcMar>
            <w:vAlign w:val="top"/>
          </w:tcPr>
          <w:p>
            <w:pPr>
              <w:spacing w:after="0"/>
            </w:pPr>
            <w:r>
              <w:rPr>
                <w:rFonts w:ascii="Calibri" w:hAnsi="Calibri"/>
                <w:color w:val="141414"/>
              </w:rPr>
              <w:t>Inhibitory nodes are eliminated to form M_eff_E(z) = M_EE + M_EI (zI - M_II)^-1 M_IE.</w:t>
            </w:r>
          </w:p>
        </w:tc>
        <w:tc>
          <w:tcPr>
            <w:tcW w:type="dxa" w:w="4060"/>
            <w:tcMar>
              <w:top w:w="80" w:type="dxa"/>
              <w:start w:w="120" w:type="dxa"/>
              <w:bottom w:w="80" w:type="dxa"/>
              <w:end w:w="120" w:type="dxa"/>
            </w:tcMar>
            <w:vAlign w:val="top"/>
          </w:tcPr>
          <w:p>
            <w:pPr>
              <w:spacing w:after="0"/>
            </w:pPr>
            <w:r>
              <w:rPr>
                <w:rFonts w:ascii="Calibri" w:hAnsi="Calibri"/>
                <w:color w:val="141414"/>
              </w:rPr>
              <w:t>This separates direct E-to-E dynamics from inhibitory feedback, while retaining all chained I-to-I paths through the resolvent.</w:t>
            </w:r>
          </w:p>
        </w:tc>
      </w:tr>
      <w:tr>
        <w:tc>
          <w:tcPr>
            <w:tcW w:type="dxa" w:w="1700"/>
            <w:tcMar>
              <w:top w:w="80" w:type="dxa"/>
              <w:start w:w="120" w:type="dxa"/>
              <w:bottom w:w="80" w:type="dxa"/>
              <w:end w:w="120" w:type="dxa"/>
            </w:tcMar>
            <w:vAlign w:val="top"/>
          </w:tcPr>
          <w:p>
            <w:pPr>
              <w:spacing w:after="0"/>
            </w:pPr>
            <w:r>
              <w:rPr>
                <w:rFonts w:ascii="Calibri" w:hAnsi="Calibri"/>
                <w:color w:val="141414"/>
              </w:rPr>
              <w:t>Population excitation response</w:t>
            </w:r>
          </w:p>
        </w:tc>
        <w:tc>
          <w:tcPr>
            <w:tcW w:type="dxa" w:w="3600"/>
            <w:tcMar>
              <w:top w:w="80" w:type="dxa"/>
              <w:start w:w="120" w:type="dxa"/>
              <w:bottom w:w="80" w:type="dxa"/>
              <w:end w:w="120" w:type="dxa"/>
            </w:tcMar>
            <w:vAlign w:val="top"/>
          </w:tcPr>
          <w:p>
            <w:pPr>
              <w:spacing w:after="0"/>
            </w:pPr>
            <w:r>
              <w:rPr>
                <w:rFonts w:ascii="Calibri" w:hAnsi="Calibri"/>
                <w:color w:val="141414"/>
              </w:rPr>
              <w:t>The response (I - alpha M)^-1 u is computed after exciting all E or all I nodes.</w:t>
            </w:r>
          </w:p>
        </w:tc>
        <w:tc>
          <w:tcPr>
            <w:tcW w:type="dxa" w:w="4060"/>
            <w:tcMar>
              <w:top w:w="80" w:type="dxa"/>
              <w:start w:w="120" w:type="dxa"/>
              <w:bottom w:w="80" w:type="dxa"/>
              <w:end w:w="120" w:type="dxa"/>
            </w:tcMar>
            <w:vAlign w:val="top"/>
          </w:tcPr>
          <w:p>
            <w:pPr>
              <w:spacing w:after="0"/>
            </w:pPr>
            <w:r>
              <w:rPr>
                <w:rFonts w:ascii="Calibri" w:hAnsi="Calibri"/>
                <w:color w:val="141414"/>
              </w:rPr>
              <w:t>This identifies high-response cell classes and candidate disinhibitory effects under stable propagation.</w:t>
            </w:r>
          </w:p>
        </w:tc>
      </w:tr>
      <w:tr>
        <w:tc>
          <w:tcPr>
            <w:tcW w:type="dxa" w:w="1700"/>
            <w:tcMar>
              <w:top w:w="80" w:type="dxa"/>
              <w:start w:w="120" w:type="dxa"/>
              <w:bottom w:w="80" w:type="dxa"/>
              <w:end w:w="120" w:type="dxa"/>
            </w:tcMar>
            <w:vAlign w:val="top"/>
          </w:tcPr>
          <w:p>
            <w:pPr>
              <w:spacing w:after="0"/>
            </w:pPr>
            <w:r>
              <w:rPr>
                <w:rFonts w:ascii="Calibri" w:hAnsi="Calibri"/>
                <w:color w:val="141414"/>
              </w:rPr>
              <w:t>Motif enrichment and stability</w:t>
            </w:r>
          </w:p>
        </w:tc>
        <w:tc>
          <w:tcPr>
            <w:tcW w:type="dxa" w:w="3600"/>
            <w:tcMar>
              <w:top w:w="80" w:type="dxa"/>
              <w:start w:w="120" w:type="dxa"/>
              <w:bottom w:w="80" w:type="dxa"/>
              <w:end w:w="120" w:type="dxa"/>
            </w:tcMar>
            <w:vAlign w:val="top"/>
          </w:tcPr>
          <w:p>
            <w:pPr>
              <w:spacing w:after="0"/>
            </w:pPr>
            <w:r>
              <w:rPr>
                <w:rFonts w:ascii="Calibri" w:hAnsi="Calibri"/>
                <w:color w:val="141414"/>
              </w:rPr>
              <w:t>Observed motifs are compared against weight-shuffled nulls, then motif edge sets are removed to test stability effects.</w:t>
            </w:r>
          </w:p>
        </w:tc>
        <w:tc>
          <w:tcPr>
            <w:tcW w:type="dxa" w:w="4060"/>
            <w:tcMar>
              <w:top w:w="80" w:type="dxa"/>
              <w:start w:w="120" w:type="dxa"/>
              <w:bottom w:w="80" w:type="dxa"/>
              <w:end w:w="120" w:type="dxa"/>
            </w:tcMar>
            <w:vAlign w:val="top"/>
          </w:tcPr>
          <w:p>
            <w:pPr>
              <w:spacing w:after="0"/>
            </w:pPr>
            <w:r>
              <w:rPr>
                <w:rFonts w:ascii="Calibri" w:hAnsi="Calibri"/>
                <w:color w:val="141414"/>
              </w:rPr>
              <w:t>Enrichment alone can be misleading; the stability test asks whether enriched motifs matter dynamically.</w:t>
            </w:r>
          </w:p>
        </w:tc>
      </w:tr>
      <w:tr>
        <w:tc>
          <w:tcPr>
            <w:tcW w:type="dxa" w:w="1700"/>
            <w:tcMar>
              <w:top w:w="80" w:type="dxa"/>
              <w:start w:w="120" w:type="dxa"/>
              <w:bottom w:w="80" w:type="dxa"/>
              <w:end w:w="120" w:type="dxa"/>
            </w:tcMar>
            <w:vAlign w:val="top"/>
          </w:tcPr>
          <w:p>
            <w:pPr>
              <w:spacing w:after="0"/>
            </w:pPr>
            <w:r>
              <w:rPr>
                <w:rFonts w:ascii="Calibri" w:hAnsi="Calibri"/>
                <w:color w:val="141414"/>
              </w:rPr>
              <w:t>Neumann model selection</w:t>
            </w:r>
          </w:p>
        </w:tc>
        <w:tc>
          <w:tcPr>
            <w:tcW w:type="dxa" w:w="3600"/>
            <w:tcMar>
              <w:top w:w="80" w:type="dxa"/>
              <w:start w:w="120" w:type="dxa"/>
              <w:bottom w:w="80" w:type="dxa"/>
              <w:end w:w="120" w:type="dxa"/>
            </w:tcMar>
            <w:vAlign w:val="top"/>
          </w:tcPr>
          <w:p>
            <w:pPr>
              <w:spacing w:after="0"/>
            </w:pPr>
            <w:r>
              <w:rPr>
                <w:rFonts w:ascii="Calibri" w:hAnsi="Calibri"/>
                <w:color w:val="141414"/>
              </w:rPr>
              <w:t>The inhibitory feedback term is expanded by I-I chain order.</w:t>
            </w:r>
          </w:p>
        </w:tc>
        <w:tc>
          <w:tcPr>
            <w:tcW w:type="dxa" w:w="4060"/>
            <w:tcMar>
              <w:top w:w="80" w:type="dxa"/>
              <w:start w:w="120" w:type="dxa"/>
              <w:bottom w:w="80" w:type="dxa"/>
              <w:end w:w="120" w:type="dxa"/>
            </w:tcMar>
            <w:vAlign w:val="top"/>
          </w:tcPr>
          <w:p>
            <w:pPr>
              <w:spacing w:after="0"/>
            </w:pPr>
            <w:r>
              <w:rPr>
                <w:rFonts w:ascii="Calibri" w:hAnsi="Calibri"/>
                <w:color w:val="141414"/>
              </w:rPr>
              <w:t>This estimates how many chained inhibitory links are needed before higher-order disinhibitory terms become negligible.</w:t>
            </w:r>
          </w:p>
        </w:tc>
      </w:tr>
      <w:tr>
        <w:tc>
          <w:tcPr>
            <w:tcW w:type="dxa" w:w="1700"/>
            <w:tcMar>
              <w:top w:w="80" w:type="dxa"/>
              <w:start w:w="120" w:type="dxa"/>
              <w:bottom w:w="80" w:type="dxa"/>
              <w:end w:w="120" w:type="dxa"/>
            </w:tcMar>
            <w:vAlign w:val="top"/>
          </w:tcPr>
          <w:p>
            <w:pPr>
              <w:spacing w:after="0"/>
            </w:pPr>
            <w:r>
              <w:rPr>
                <w:rFonts w:ascii="Calibri" w:hAnsi="Calibri"/>
                <w:color w:val="141414"/>
              </w:rPr>
              <w:t>Path and source ranking</w:t>
            </w:r>
          </w:p>
        </w:tc>
        <w:tc>
          <w:tcPr>
            <w:tcW w:type="dxa" w:w="3600"/>
            <w:tcMar>
              <w:top w:w="80" w:type="dxa"/>
              <w:start w:w="120" w:type="dxa"/>
              <w:bottom w:w="80" w:type="dxa"/>
              <w:end w:w="120" w:type="dxa"/>
            </w:tcMar>
            <w:vAlign w:val="top"/>
          </w:tcPr>
          <w:p>
            <w:pPr>
              <w:spacing w:after="0"/>
            </w:pPr>
            <w:r>
              <w:rPr>
                <w:rFonts w:ascii="Calibri" w:hAnsi="Calibri"/>
                <w:color w:val="141414"/>
              </w:rPr>
              <w:t>Strong E-I-E and E-I-I-E configurations and high-scoring inhibitory cells are enumerated.</w:t>
            </w:r>
          </w:p>
        </w:tc>
        <w:tc>
          <w:tcPr>
            <w:tcW w:type="dxa" w:w="4060"/>
            <w:tcMar>
              <w:top w:w="80" w:type="dxa"/>
              <w:start w:w="120" w:type="dxa"/>
              <w:bottom w:w="80" w:type="dxa"/>
              <w:end w:w="120" w:type="dxa"/>
            </w:tcMar>
            <w:vAlign w:val="top"/>
          </w:tcPr>
          <w:p>
            <w:pPr>
              <w:spacing w:after="0"/>
            </w:pPr>
            <w:r>
              <w:rPr>
                <w:rFonts w:ascii="Calibri" w:hAnsi="Calibri"/>
                <w:color w:val="141414"/>
              </w:rPr>
              <w:t>This translates matrix-level effects into cell-class hypotheses for advisor discussion and biological follow-up.</w:t>
            </w:r>
          </w:p>
        </w:tc>
      </w:tr>
    </w:tbl>
    <w:p>
      <w:pPr>
        <w:spacing w:after="40"/>
      </w:pPr>
    </w:p>
    <w:p>
      <w:pPr>
        <w:pStyle w:val="Heading1"/>
        <w:spacing w:before="320" w:after="160"/>
      </w:pPr>
      <w:r>
        <w:rPr>
          <w:rFonts w:ascii="Calibri" w:hAnsi="Calibri"/>
          <w:b/>
          <w:color w:val="2E74B5"/>
          <w:sz w:val="32"/>
        </w:rPr>
        <w:t>Current Findings</w:t>
      </w:r>
    </w:p>
    <w:p>
      <w:pPr>
        <w:pStyle w:val="Heading2"/>
        <w:spacing w:before="240" w:after="120"/>
      </w:pPr>
      <w:r>
        <w:rPr>
          <w:rFonts w:ascii="Calibri" w:hAnsi="Calibri"/>
          <w:b/>
          <w:color w:val="2E74B5"/>
          <w:sz w:val="26"/>
        </w:rPr>
        <w:t>1. Excitatory recurrence dominates the growth mode</w:t>
      </w:r>
    </w:p>
    <w:tbl>
      <w:tblPr>
        <w:tblStyle w:val="TableGrid"/>
        <w:tblW w:type="dxa" w:w="9360"/>
        <w:jc w:val="left"/>
        <w:tblLayout w:type="fixed"/>
        <w:tblLook w:firstColumn="1" w:firstRow="1" w:lastColumn="0" w:lastRow="0" w:noHBand="0" w:noVBand="1" w:val="04A0"/>
        <w:tblInd w:w="120" w:type="dxa"/>
      </w:tblPr>
      <w:tblGrid>
        <w:gridCol w:w="1900"/>
        <w:gridCol w:w="1800"/>
        <w:gridCol w:w="2800"/>
        <w:gridCol w:w="2860"/>
      </w:tblGrid>
      <w:tr>
        <w:tc>
          <w:tcPr>
            <w:tcW w:type="dxa" w:w="1900"/>
            <w:shd w:fill="F2F4F7"/>
            <w:tcMar>
              <w:top w:w="80" w:type="dxa"/>
              <w:start w:w="120" w:type="dxa"/>
              <w:bottom w:w="80" w:type="dxa"/>
              <w:end w:w="120" w:type="dxa"/>
            </w:tcMar>
            <w:vAlign w:val="top"/>
          </w:tcPr>
          <w:p>
            <w:pPr>
              <w:spacing w:after="0"/>
            </w:pPr>
            <w:r>
              <w:rPr>
                <w:rFonts w:ascii="Calibri" w:hAnsi="Calibri"/>
                <w:b/>
                <w:color w:val="141414"/>
              </w:rPr>
              <w:t>Variant</w:t>
            </w:r>
          </w:p>
        </w:tc>
        <w:tc>
          <w:tcPr>
            <w:tcW w:type="dxa" w:w="1800"/>
            <w:shd w:fill="F2F4F7"/>
            <w:tcMar>
              <w:top w:w="80" w:type="dxa"/>
              <w:start w:w="120" w:type="dxa"/>
              <w:bottom w:w="80" w:type="dxa"/>
              <w:end w:w="120" w:type="dxa"/>
            </w:tcMar>
            <w:vAlign w:val="top"/>
          </w:tcPr>
          <w:p>
            <w:pPr>
              <w:spacing w:after="0"/>
            </w:pPr>
            <w:r>
              <w:rPr>
                <w:rFonts w:ascii="Calibri" w:hAnsi="Calibri"/>
                <w:b/>
                <w:color w:val="141414"/>
              </w:rPr>
              <w:t>Removed block</w:t>
            </w:r>
          </w:p>
        </w:tc>
        <w:tc>
          <w:tcPr>
            <w:tcW w:type="dxa" w:w="2800"/>
            <w:shd w:fill="F2F4F7"/>
            <w:tcMar>
              <w:top w:w="80" w:type="dxa"/>
              <w:start w:w="120" w:type="dxa"/>
              <w:bottom w:w="80" w:type="dxa"/>
              <w:end w:w="120" w:type="dxa"/>
            </w:tcMar>
            <w:vAlign w:val="top"/>
          </w:tcPr>
          <w:p>
            <w:pPr>
              <w:spacing w:after="0"/>
            </w:pPr>
            <w:r>
              <w:rPr>
                <w:rFonts w:ascii="Calibri" w:hAnsi="Calibri"/>
                <w:b/>
                <w:color w:val="141414"/>
              </w:rPr>
              <w:t>Delta dominant real</w:t>
            </w:r>
          </w:p>
        </w:tc>
        <w:tc>
          <w:tcPr>
            <w:tcW w:type="dxa" w:w="2860"/>
            <w:shd w:fill="F2F4F7"/>
            <w:tcMar>
              <w:top w:w="80" w:type="dxa"/>
              <w:start w:w="120" w:type="dxa"/>
              <w:bottom w:w="80" w:type="dxa"/>
              <w:end w:w="120" w:type="dxa"/>
            </w:tcMar>
            <w:vAlign w:val="top"/>
          </w:tcPr>
          <w:p>
            <w:pPr>
              <w:spacing w:after="0"/>
            </w:pPr>
            <w:r>
              <w:rPr>
                <w:rFonts w:ascii="Calibri" w:hAnsi="Calibri"/>
                <w:b/>
                <w:color w:val="141414"/>
              </w:rPr>
              <w:t>Delta spectral radius</w:t>
            </w:r>
          </w:p>
        </w:tc>
      </w:tr>
      <w:tr>
        <w:tc>
          <w:tcPr>
            <w:tcW w:type="dxa" w:w="1900"/>
            <w:tcMar>
              <w:top w:w="80" w:type="dxa"/>
              <w:start w:w="120" w:type="dxa"/>
              <w:bottom w:w="80" w:type="dxa"/>
              <w:end w:w="120" w:type="dxa"/>
            </w:tcMar>
            <w:vAlign w:val="top"/>
          </w:tcPr>
          <w:p>
            <w:pPr>
              <w:spacing w:after="0"/>
            </w:pPr>
            <w:r>
              <w:rPr>
                <w:rFonts w:ascii="Calibri" w:hAnsi="Calibri"/>
                <w:color w:val="141414"/>
              </w:rPr>
              <w:t>with_self</w:t>
            </w:r>
          </w:p>
        </w:tc>
        <w:tc>
          <w:tcPr>
            <w:tcW w:type="dxa" w:w="1800"/>
            <w:tcMar>
              <w:top w:w="80" w:type="dxa"/>
              <w:start w:w="120" w:type="dxa"/>
              <w:bottom w:w="80" w:type="dxa"/>
              <w:end w:w="120" w:type="dxa"/>
            </w:tcMar>
            <w:vAlign w:val="top"/>
          </w:tcPr>
          <w:p>
            <w:pPr>
              <w:spacing w:after="0"/>
            </w:pPr>
            <w:r>
              <w:rPr>
                <w:rFonts w:ascii="Calibri" w:hAnsi="Calibri"/>
                <w:color w:val="141414"/>
              </w:rPr>
              <w:t>EE</w:t>
            </w:r>
          </w:p>
        </w:tc>
        <w:tc>
          <w:tcPr>
            <w:tcW w:type="dxa" w:w="2800"/>
            <w:tcMar>
              <w:top w:w="80" w:type="dxa"/>
              <w:start w:w="120" w:type="dxa"/>
              <w:bottom w:w="80" w:type="dxa"/>
              <w:end w:w="120" w:type="dxa"/>
            </w:tcMar>
            <w:vAlign w:val="top"/>
          </w:tcPr>
          <w:p>
            <w:pPr>
              <w:spacing w:after="0"/>
            </w:pPr>
            <w:r>
              <w:rPr>
                <w:rFonts w:ascii="Calibri" w:hAnsi="Calibri"/>
                <w:color w:val="141414"/>
              </w:rPr>
              <w:t>-0.926</w:t>
            </w:r>
          </w:p>
        </w:tc>
        <w:tc>
          <w:tcPr>
            <w:tcW w:type="dxa" w:w="2860"/>
            <w:tcMar>
              <w:top w:w="80" w:type="dxa"/>
              <w:start w:w="120" w:type="dxa"/>
              <w:bottom w:w="80" w:type="dxa"/>
              <w:end w:w="120" w:type="dxa"/>
            </w:tcMar>
            <w:vAlign w:val="top"/>
          </w:tcPr>
          <w:p>
            <w:pPr>
              <w:spacing w:after="0"/>
            </w:pPr>
            <w:r>
              <w:rPr>
                <w:rFonts w:ascii="Calibri" w:hAnsi="Calibri"/>
                <w:color w:val="141414"/>
              </w:rPr>
              <w:t>-0.633</w:t>
            </w:r>
          </w:p>
        </w:tc>
      </w:tr>
      <w:tr>
        <w:tc>
          <w:tcPr>
            <w:tcW w:type="dxa" w:w="1900"/>
            <w:tcMar>
              <w:top w:w="80" w:type="dxa"/>
              <w:start w:w="120" w:type="dxa"/>
              <w:bottom w:w="80" w:type="dxa"/>
              <w:end w:w="120" w:type="dxa"/>
            </w:tcMar>
            <w:vAlign w:val="top"/>
          </w:tcPr>
          <w:p>
            <w:pPr>
              <w:spacing w:after="0"/>
            </w:pPr>
            <w:r>
              <w:rPr>
                <w:rFonts w:ascii="Calibri" w:hAnsi="Calibri"/>
                <w:color w:val="141414"/>
              </w:rPr>
              <w:t>with_self</w:t>
            </w:r>
          </w:p>
        </w:tc>
        <w:tc>
          <w:tcPr>
            <w:tcW w:type="dxa" w:w="1800"/>
            <w:tcMar>
              <w:top w:w="80" w:type="dxa"/>
              <w:start w:w="120" w:type="dxa"/>
              <w:bottom w:w="80" w:type="dxa"/>
              <w:end w:w="120" w:type="dxa"/>
            </w:tcMar>
            <w:vAlign w:val="top"/>
          </w:tcPr>
          <w:p>
            <w:pPr>
              <w:spacing w:after="0"/>
            </w:pPr>
            <w:r>
              <w:rPr>
                <w:rFonts w:ascii="Calibri" w:hAnsi="Calibri"/>
                <w:color w:val="141414"/>
              </w:rPr>
              <w:t>EI</w:t>
            </w:r>
          </w:p>
        </w:tc>
        <w:tc>
          <w:tcPr>
            <w:tcW w:type="dxa" w:w="2800"/>
            <w:tcMar>
              <w:top w:w="80" w:type="dxa"/>
              <w:start w:w="120" w:type="dxa"/>
              <w:bottom w:w="80" w:type="dxa"/>
              <w:end w:w="120" w:type="dxa"/>
            </w:tcMar>
            <w:vAlign w:val="top"/>
          </w:tcPr>
          <w:p>
            <w:pPr>
              <w:spacing w:after="0"/>
            </w:pPr>
            <w:r>
              <w:rPr>
                <w:rFonts w:ascii="Calibri" w:hAnsi="Calibri"/>
                <w:color w:val="141414"/>
              </w:rPr>
              <w:t>+0.042</w:t>
            </w:r>
          </w:p>
        </w:tc>
        <w:tc>
          <w:tcPr>
            <w:tcW w:type="dxa" w:w="2860"/>
            <w:tcMar>
              <w:top w:w="80" w:type="dxa"/>
              <w:start w:w="120" w:type="dxa"/>
              <w:bottom w:w="80" w:type="dxa"/>
              <w:end w:w="120" w:type="dxa"/>
            </w:tcMar>
            <w:vAlign w:val="top"/>
          </w:tcPr>
          <w:p>
            <w:pPr>
              <w:spacing w:after="0"/>
            </w:pPr>
            <w:r>
              <w:rPr>
                <w:rFonts w:ascii="Calibri" w:hAnsi="Calibri"/>
                <w:color w:val="141414"/>
              </w:rPr>
              <w:t>+0.042</w:t>
            </w:r>
          </w:p>
        </w:tc>
      </w:tr>
      <w:tr>
        <w:tc>
          <w:tcPr>
            <w:tcW w:type="dxa" w:w="1900"/>
            <w:tcMar>
              <w:top w:w="80" w:type="dxa"/>
              <w:start w:w="120" w:type="dxa"/>
              <w:bottom w:w="80" w:type="dxa"/>
              <w:end w:w="120" w:type="dxa"/>
            </w:tcMar>
            <w:vAlign w:val="top"/>
          </w:tcPr>
          <w:p>
            <w:pPr>
              <w:spacing w:after="0"/>
            </w:pPr>
            <w:r>
              <w:rPr>
                <w:rFonts w:ascii="Calibri" w:hAnsi="Calibri"/>
                <w:color w:val="141414"/>
              </w:rPr>
              <w:t>with_self</w:t>
            </w:r>
          </w:p>
        </w:tc>
        <w:tc>
          <w:tcPr>
            <w:tcW w:type="dxa" w:w="1800"/>
            <w:tcMar>
              <w:top w:w="80" w:type="dxa"/>
              <w:start w:w="120" w:type="dxa"/>
              <w:bottom w:w="80" w:type="dxa"/>
              <w:end w:w="120" w:type="dxa"/>
            </w:tcMar>
            <w:vAlign w:val="top"/>
          </w:tcPr>
          <w:p>
            <w:pPr>
              <w:spacing w:after="0"/>
            </w:pPr>
            <w:r>
              <w:rPr>
                <w:rFonts w:ascii="Calibri" w:hAnsi="Calibri"/>
                <w:color w:val="141414"/>
              </w:rPr>
              <w:t>IE</w:t>
            </w:r>
          </w:p>
        </w:tc>
        <w:tc>
          <w:tcPr>
            <w:tcW w:type="dxa" w:w="2800"/>
            <w:tcMar>
              <w:top w:w="80" w:type="dxa"/>
              <w:start w:w="120" w:type="dxa"/>
              <w:bottom w:w="80" w:type="dxa"/>
              <w:end w:w="120" w:type="dxa"/>
            </w:tcMar>
            <w:vAlign w:val="top"/>
          </w:tcPr>
          <w:p>
            <w:pPr>
              <w:spacing w:after="0"/>
            </w:pPr>
            <w:r>
              <w:rPr>
                <w:rFonts w:ascii="Calibri" w:hAnsi="Calibri"/>
                <w:color w:val="141414"/>
              </w:rPr>
              <w:t>+0.042</w:t>
            </w:r>
          </w:p>
        </w:tc>
        <w:tc>
          <w:tcPr>
            <w:tcW w:type="dxa" w:w="2860"/>
            <w:tcMar>
              <w:top w:w="80" w:type="dxa"/>
              <w:start w:w="120" w:type="dxa"/>
              <w:bottom w:w="80" w:type="dxa"/>
              <w:end w:w="120" w:type="dxa"/>
            </w:tcMar>
            <w:vAlign w:val="top"/>
          </w:tcPr>
          <w:p>
            <w:pPr>
              <w:spacing w:after="0"/>
            </w:pPr>
            <w:r>
              <w:rPr>
                <w:rFonts w:ascii="Calibri" w:hAnsi="Calibri"/>
                <w:color w:val="141414"/>
              </w:rPr>
              <w:t>+0.042</w:t>
            </w:r>
          </w:p>
        </w:tc>
      </w:tr>
      <w:tr>
        <w:tc>
          <w:tcPr>
            <w:tcW w:type="dxa" w:w="1900"/>
            <w:tcMar>
              <w:top w:w="80" w:type="dxa"/>
              <w:start w:w="120" w:type="dxa"/>
              <w:bottom w:w="80" w:type="dxa"/>
              <w:end w:w="120" w:type="dxa"/>
            </w:tcMar>
            <w:vAlign w:val="top"/>
          </w:tcPr>
          <w:p>
            <w:pPr>
              <w:spacing w:after="0"/>
            </w:pPr>
            <w:r>
              <w:rPr>
                <w:rFonts w:ascii="Calibri" w:hAnsi="Calibri"/>
                <w:color w:val="141414"/>
              </w:rPr>
              <w:t>with_self</w:t>
            </w:r>
          </w:p>
        </w:tc>
        <w:tc>
          <w:tcPr>
            <w:tcW w:type="dxa" w:w="1800"/>
            <w:tcMar>
              <w:top w:w="80" w:type="dxa"/>
              <w:start w:w="120" w:type="dxa"/>
              <w:bottom w:w="80" w:type="dxa"/>
              <w:end w:w="120" w:type="dxa"/>
            </w:tcMar>
            <w:vAlign w:val="top"/>
          </w:tcPr>
          <w:p>
            <w:pPr>
              <w:spacing w:after="0"/>
            </w:pPr>
            <w:r>
              <w:rPr>
                <w:rFonts w:ascii="Calibri" w:hAnsi="Calibri"/>
                <w:color w:val="141414"/>
              </w:rPr>
              <w:t>II</w:t>
            </w:r>
          </w:p>
        </w:tc>
        <w:tc>
          <w:tcPr>
            <w:tcW w:type="dxa" w:w="2800"/>
            <w:tcMar>
              <w:top w:w="80" w:type="dxa"/>
              <w:start w:w="120" w:type="dxa"/>
              <w:bottom w:w="80" w:type="dxa"/>
              <w:end w:w="120" w:type="dxa"/>
            </w:tcMar>
            <w:vAlign w:val="top"/>
          </w:tcPr>
          <w:p>
            <w:pPr>
              <w:spacing w:after="0"/>
            </w:pPr>
            <w:r>
              <w:rPr>
                <w:rFonts w:ascii="Calibri" w:hAnsi="Calibri"/>
                <w:color w:val="141414"/>
              </w:rPr>
              <w:t>-0.007</w:t>
            </w:r>
          </w:p>
        </w:tc>
        <w:tc>
          <w:tcPr>
            <w:tcW w:type="dxa" w:w="2860"/>
            <w:tcMar>
              <w:top w:w="80" w:type="dxa"/>
              <w:start w:w="120" w:type="dxa"/>
              <w:bottom w:w="80" w:type="dxa"/>
              <w:end w:w="120" w:type="dxa"/>
            </w:tcMar>
            <w:vAlign w:val="top"/>
          </w:tcPr>
          <w:p>
            <w:pPr>
              <w:spacing w:after="0"/>
            </w:pPr>
            <w:r>
              <w:rPr>
                <w:rFonts w:ascii="Calibri" w:hAnsi="Calibri"/>
                <w:color w:val="141414"/>
              </w:rPr>
              <w:t>-0.007</w:t>
            </w:r>
          </w:p>
        </w:tc>
      </w:tr>
      <w:tr>
        <w:tc>
          <w:tcPr>
            <w:tcW w:type="dxa" w:w="1900"/>
            <w:tcMar>
              <w:top w:w="80" w:type="dxa"/>
              <w:start w:w="120" w:type="dxa"/>
              <w:bottom w:w="80" w:type="dxa"/>
              <w:end w:w="120" w:type="dxa"/>
            </w:tcMar>
            <w:vAlign w:val="top"/>
          </w:tcPr>
          <w:p>
            <w:pPr>
              <w:spacing w:after="0"/>
            </w:pPr>
            <w:r>
              <w:rPr>
                <w:rFonts w:ascii="Calibri" w:hAnsi="Calibri"/>
                <w:color w:val="141414"/>
              </w:rPr>
              <w:t>no_self</w:t>
            </w:r>
          </w:p>
        </w:tc>
        <w:tc>
          <w:tcPr>
            <w:tcW w:type="dxa" w:w="1800"/>
            <w:tcMar>
              <w:top w:w="80" w:type="dxa"/>
              <w:start w:w="120" w:type="dxa"/>
              <w:bottom w:w="80" w:type="dxa"/>
              <w:end w:w="120" w:type="dxa"/>
            </w:tcMar>
            <w:vAlign w:val="top"/>
          </w:tcPr>
          <w:p>
            <w:pPr>
              <w:spacing w:after="0"/>
            </w:pPr>
            <w:r>
              <w:rPr>
                <w:rFonts w:ascii="Calibri" w:hAnsi="Calibri"/>
                <w:color w:val="141414"/>
              </w:rPr>
              <w:t>EE</w:t>
            </w:r>
          </w:p>
        </w:tc>
        <w:tc>
          <w:tcPr>
            <w:tcW w:type="dxa" w:w="2800"/>
            <w:tcMar>
              <w:top w:w="80" w:type="dxa"/>
              <w:start w:w="120" w:type="dxa"/>
              <w:bottom w:w="80" w:type="dxa"/>
              <w:end w:w="120" w:type="dxa"/>
            </w:tcMar>
            <w:vAlign w:val="top"/>
          </w:tcPr>
          <w:p>
            <w:pPr>
              <w:spacing w:after="0"/>
            </w:pPr>
            <w:r>
              <w:rPr>
                <w:rFonts w:ascii="Calibri" w:hAnsi="Calibri"/>
                <w:color w:val="141414"/>
              </w:rPr>
              <w:t>-0.883</w:t>
            </w:r>
          </w:p>
        </w:tc>
        <w:tc>
          <w:tcPr>
            <w:tcW w:type="dxa" w:w="2860"/>
            <w:tcMar>
              <w:top w:w="80" w:type="dxa"/>
              <w:start w:w="120" w:type="dxa"/>
              <w:bottom w:w="80" w:type="dxa"/>
              <w:end w:w="120" w:type="dxa"/>
            </w:tcMar>
            <w:vAlign w:val="top"/>
          </w:tcPr>
          <w:p>
            <w:pPr>
              <w:spacing w:after="0"/>
            </w:pPr>
            <w:r>
              <w:rPr>
                <w:rFonts w:ascii="Calibri" w:hAnsi="Calibri"/>
                <w:color w:val="141414"/>
              </w:rPr>
              <w:t>-0.354</w:t>
            </w:r>
          </w:p>
        </w:tc>
      </w:tr>
      <w:tr>
        <w:tc>
          <w:tcPr>
            <w:tcW w:type="dxa" w:w="1900"/>
            <w:tcMar>
              <w:top w:w="80" w:type="dxa"/>
              <w:start w:w="120" w:type="dxa"/>
              <w:bottom w:w="80" w:type="dxa"/>
              <w:end w:w="120" w:type="dxa"/>
            </w:tcMar>
            <w:vAlign w:val="top"/>
          </w:tcPr>
          <w:p>
            <w:pPr>
              <w:spacing w:after="0"/>
            </w:pPr>
            <w:r>
              <w:rPr>
                <w:rFonts w:ascii="Calibri" w:hAnsi="Calibri"/>
                <w:color w:val="141414"/>
              </w:rPr>
              <w:t>no_self</w:t>
            </w:r>
          </w:p>
        </w:tc>
        <w:tc>
          <w:tcPr>
            <w:tcW w:type="dxa" w:w="1800"/>
            <w:tcMar>
              <w:top w:w="80" w:type="dxa"/>
              <w:start w:w="120" w:type="dxa"/>
              <w:bottom w:w="80" w:type="dxa"/>
              <w:end w:w="120" w:type="dxa"/>
            </w:tcMar>
            <w:vAlign w:val="top"/>
          </w:tcPr>
          <w:p>
            <w:pPr>
              <w:spacing w:after="0"/>
            </w:pPr>
            <w:r>
              <w:rPr>
                <w:rFonts w:ascii="Calibri" w:hAnsi="Calibri"/>
                <w:color w:val="141414"/>
              </w:rPr>
              <w:t>EI</w:t>
            </w:r>
          </w:p>
        </w:tc>
        <w:tc>
          <w:tcPr>
            <w:tcW w:type="dxa" w:w="2800"/>
            <w:tcMar>
              <w:top w:w="80" w:type="dxa"/>
              <w:start w:w="120" w:type="dxa"/>
              <w:bottom w:w="80" w:type="dxa"/>
              <w:end w:w="120" w:type="dxa"/>
            </w:tcMar>
            <w:vAlign w:val="top"/>
          </w:tcPr>
          <w:p>
            <w:pPr>
              <w:spacing w:after="0"/>
            </w:pPr>
            <w:r>
              <w:rPr>
                <w:rFonts w:ascii="Calibri" w:hAnsi="Calibri"/>
                <w:color w:val="141414"/>
              </w:rPr>
              <w:t>+0.172</w:t>
            </w:r>
          </w:p>
        </w:tc>
        <w:tc>
          <w:tcPr>
            <w:tcW w:type="dxa" w:w="2860"/>
            <w:tcMar>
              <w:top w:w="80" w:type="dxa"/>
              <w:start w:w="120" w:type="dxa"/>
              <w:bottom w:w="80" w:type="dxa"/>
              <w:end w:w="120" w:type="dxa"/>
            </w:tcMar>
            <w:vAlign w:val="top"/>
          </w:tcPr>
          <w:p>
            <w:pPr>
              <w:spacing w:after="0"/>
            </w:pPr>
            <w:r>
              <w:rPr>
                <w:rFonts w:ascii="Calibri" w:hAnsi="Calibri"/>
                <w:color w:val="141414"/>
              </w:rPr>
              <w:t>+0.172</w:t>
            </w:r>
          </w:p>
        </w:tc>
      </w:tr>
      <w:tr>
        <w:tc>
          <w:tcPr>
            <w:tcW w:type="dxa" w:w="1900"/>
            <w:tcMar>
              <w:top w:w="80" w:type="dxa"/>
              <w:start w:w="120" w:type="dxa"/>
              <w:bottom w:w="80" w:type="dxa"/>
              <w:end w:w="120" w:type="dxa"/>
            </w:tcMar>
            <w:vAlign w:val="top"/>
          </w:tcPr>
          <w:p>
            <w:pPr>
              <w:spacing w:after="0"/>
            </w:pPr>
            <w:r>
              <w:rPr>
                <w:rFonts w:ascii="Calibri" w:hAnsi="Calibri"/>
                <w:color w:val="141414"/>
              </w:rPr>
              <w:t>no_self</w:t>
            </w:r>
          </w:p>
        </w:tc>
        <w:tc>
          <w:tcPr>
            <w:tcW w:type="dxa" w:w="1800"/>
            <w:tcMar>
              <w:top w:w="80" w:type="dxa"/>
              <w:start w:w="120" w:type="dxa"/>
              <w:bottom w:w="80" w:type="dxa"/>
              <w:end w:w="120" w:type="dxa"/>
            </w:tcMar>
            <w:vAlign w:val="top"/>
          </w:tcPr>
          <w:p>
            <w:pPr>
              <w:spacing w:after="0"/>
            </w:pPr>
            <w:r>
              <w:rPr>
                <w:rFonts w:ascii="Calibri" w:hAnsi="Calibri"/>
                <w:color w:val="141414"/>
              </w:rPr>
              <w:t>IE</w:t>
            </w:r>
          </w:p>
        </w:tc>
        <w:tc>
          <w:tcPr>
            <w:tcW w:type="dxa" w:w="2800"/>
            <w:tcMar>
              <w:top w:w="80" w:type="dxa"/>
              <w:start w:w="120" w:type="dxa"/>
              <w:bottom w:w="80" w:type="dxa"/>
              <w:end w:w="120" w:type="dxa"/>
            </w:tcMar>
            <w:vAlign w:val="top"/>
          </w:tcPr>
          <w:p>
            <w:pPr>
              <w:spacing w:after="0"/>
            </w:pPr>
            <w:r>
              <w:rPr>
                <w:rFonts w:ascii="Calibri" w:hAnsi="Calibri"/>
                <w:color w:val="141414"/>
              </w:rPr>
              <w:t>+0.172</w:t>
            </w:r>
          </w:p>
        </w:tc>
        <w:tc>
          <w:tcPr>
            <w:tcW w:type="dxa" w:w="2860"/>
            <w:tcMar>
              <w:top w:w="80" w:type="dxa"/>
              <w:start w:w="120" w:type="dxa"/>
              <w:bottom w:w="80" w:type="dxa"/>
              <w:end w:w="120" w:type="dxa"/>
            </w:tcMar>
            <w:vAlign w:val="top"/>
          </w:tcPr>
          <w:p>
            <w:pPr>
              <w:spacing w:after="0"/>
            </w:pPr>
            <w:r>
              <w:rPr>
                <w:rFonts w:ascii="Calibri" w:hAnsi="Calibri"/>
                <w:color w:val="141414"/>
              </w:rPr>
              <w:t>+0.172</w:t>
            </w:r>
          </w:p>
        </w:tc>
      </w:tr>
      <w:tr>
        <w:tc>
          <w:tcPr>
            <w:tcW w:type="dxa" w:w="1900"/>
            <w:tcMar>
              <w:top w:w="80" w:type="dxa"/>
              <w:start w:w="120" w:type="dxa"/>
              <w:bottom w:w="80" w:type="dxa"/>
              <w:end w:w="120" w:type="dxa"/>
            </w:tcMar>
            <w:vAlign w:val="top"/>
          </w:tcPr>
          <w:p>
            <w:pPr>
              <w:spacing w:after="0"/>
            </w:pPr>
            <w:r>
              <w:rPr>
                <w:rFonts w:ascii="Calibri" w:hAnsi="Calibri"/>
                <w:color w:val="141414"/>
              </w:rPr>
              <w:t>no_self</w:t>
            </w:r>
          </w:p>
        </w:tc>
        <w:tc>
          <w:tcPr>
            <w:tcW w:type="dxa" w:w="1800"/>
            <w:tcMar>
              <w:top w:w="80" w:type="dxa"/>
              <w:start w:w="120" w:type="dxa"/>
              <w:bottom w:w="80" w:type="dxa"/>
              <w:end w:w="120" w:type="dxa"/>
            </w:tcMar>
            <w:vAlign w:val="top"/>
          </w:tcPr>
          <w:p>
            <w:pPr>
              <w:spacing w:after="0"/>
            </w:pPr>
            <w:r>
              <w:rPr>
                <w:rFonts w:ascii="Calibri" w:hAnsi="Calibri"/>
                <w:color w:val="141414"/>
              </w:rPr>
              <w:t>II</w:t>
            </w:r>
          </w:p>
        </w:tc>
        <w:tc>
          <w:tcPr>
            <w:tcW w:type="dxa" w:w="2800"/>
            <w:tcMar>
              <w:top w:w="80" w:type="dxa"/>
              <w:start w:w="120" w:type="dxa"/>
              <w:bottom w:w="80" w:type="dxa"/>
              <w:end w:w="120" w:type="dxa"/>
            </w:tcMar>
            <w:vAlign w:val="top"/>
          </w:tcPr>
          <w:p>
            <w:pPr>
              <w:spacing w:after="0"/>
            </w:pPr>
            <w:r>
              <w:rPr>
                <w:rFonts w:ascii="Calibri" w:hAnsi="Calibri"/>
                <w:color w:val="141414"/>
              </w:rPr>
              <w:t>-0.014</w:t>
            </w:r>
          </w:p>
        </w:tc>
        <w:tc>
          <w:tcPr>
            <w:tcW w:type="dxa" w:w="2860"/>
            <w:tcMar>
              <w:top w:w="80" w:type="dxa"/>
              <w:start w:w="120" w:type="dxa"/>
              <w:bottom w:w="80" w:type="dxa"/>
              <w:end w:w="120" w:type="dxa"/>
            </w:tcMar>
            <w:vAlign w:val="top"/>
          </w:tcPr>
          <w:p>
            <w:pPr>
              <w:spacing w:after="0"/>
            </w:pPr>
            <w:r>
              <w:rPr>
                <w:rFonts w:ascii="Calibri" w:hAnsi="Calibri"/>
                <w:color w:val="141414"/>
              </w:rPr>
              <w:t>-0.014</w:t>
            </w:r>
          </w:p>
        </w:tc>
      </w:tr>
    </w:tbl>
    <w:p>
      <w:pPr>
        <w:spacing w:after="40"/>
      </w:pPr>
    </w:p>
    <w:p>
      <w:pPr>
        <w:spacing w:before="0" w:after="120" w:line="264" w:lineRule="auto"/>
      </w:pPr>
      <w:r>
        <w:rPr>
          <w:rFonts w:ascii="Calibri" w:hAnsi="Calibri"/>
          <w:color w:val="141414"/>
        </w:rPr>
        <w:t>The negative EE-removal shift shows that direct excitatory recurrence is the principal contributor to the normalized dominant mode. By contrast, removing EI or IE increases the dominant real eigenvalue, which indicates that the recruited inhibitory interface was suppressing the dominant growth direction.</w:t>
      </w:r>
    </w:p>
    <w:p>
      <w:pPr>
        <w:spacing w:before="80" w:after="0"/>
        <w:jc w:val="center"/>
      </w:pPr>
      <w:r>
        <w:drawing>
          <wp:inline xmlns:a="http://schemas.openxmlformats.org/drawingml/2006/main" xmlns:pic="http://schemas.openxmlformats.org/drawingml/2006/picture">
            <wp:extent cx="5806440" cy="2520661"/>
            <wp:docPr id="1" name="Picture 1"/>
            <wp:cNvGraphicFramePr>
              <a:graphicFrameLocks noChangeAspect="1"/>
            </wp:cNvGraphicFramePr>
            <a:graphic>
              <a:graphicData uri="http://schemas.openxmlformats.org/drawingml/2006/picture">
                <pic:pic>
                  <pic:nvPicPr>
                    <pic:cNvPr id="0" name="block_removal_delta_dominant_real_by_variant.png"/>
                    <pic:cNvPicPr/>
                  </pic:nvPicPr>
                  <pic:blipFill>
                    <a:blip r:embed="rId11"/>
                    <a:stretch>
                      <a:fillRect/>
                    </a:stretch>
                  </pic:blipFill>
                  <pic:spPr>
                    <a:xfrm>
                      <a:off x="0" y="0"/>
                      <a:ext cx="5806440" cy="2520661"/>
                    </a:xfrm>
                    <a:prstGeom prst="rect"/>
                  </pic:spPr>
                </pic:pic>
              </a:graphicData>
            </a:graphic>
          </wp:inline>
        </w:drawing>
      </w:r>
    </w:p>
    <w:p>
      <w:pPr>
        <w:spacing w:before="60" w:after="180"/>
        <w:jc w:val="center"/>
      </w:pPr>
      <w:r>
        <w:rPr>
          <w:rFonts w:ascii="Calibri" w:hAnsi="Calibri"/>
          <w:i/>
          <w:color w:val="5A5A5A"/>
          <w:sz w:val="19"/>
        </w:rPr>
        <w:t>Figure 1. Dominant real eigenvalue shift after removing each E/I block.</w:t>
      </w:r>
    </w:p>
    <w:p>
      <w:pPr>
        <w:pStyle w:val="Heading2"/>
        <w:spacing w:before="240" w:after="120"/>
      </w:pPr>
      <w:r>
        <w:rPr>
          <w:rFonts w:ascii="Calibri" w:hAnsi="Calibri"/>
          <w:b/>
          <w:color w:val="2E74B5"/>
          <w:sz w:val="26"/>
        </w:rPr>
        <w:t>2. Schur reduction isolates inhibitory feedback from direct E dynamics</w:t>
      </w:r>
    </w:p>
    <w:tbl>
      <w:tblPr>
        <w:tblStyle w:val="TableGrid"/>
        <w:tblW w:type="dxa" w:w="9360"/>
        <w:jc w:val="left"/>
        <w:tblLayout w:type="fixed"/>
        <w:tblLook w:firstColumn="1" w:firstRow="1" w:lastColumn="0" w:lastRow="0" w:noHBand="0" w:noVBand="1" w:val="04A0"/>
        <w:tblInd w:w="120" w:type="dxa"/>
      </w:tblPr>
      <w:tblGrid>
        <w:gridCol w:w="1600"/>
        <w:gridCol w:w="2500"/>
        <w:gridCol w:w="1900"/>
        <w:gridCol w:w="1700"/>
        <w:gridCol w:w="1660"/>
      </w:tblGrid>
      <w:tr>
        <w:tc>
          <w:tcPr>
            <w:tcW w:type="dxa" w:w="1600"/>
            <w:shd w:fill="F2F4F7"/>
            <w:tcMar>
              <w:top w:w="80" w:type="dxa"/>
              <w:start w:w="120" w:type="dxa"/>
              <w:bottom w:w="80" w:type="dxa"/>
              <w:end w:w="120" w:type="dxa"/>
            </w:tcMar>
            <w:vAlign w:val="top"/>
          </w:tcPr>
          <w:p>
            <w:pPr>
              <w:spacing w:after="0"/>
            </w:pPr>
            <w:r>
              <w:rPr>
                <w:rFonts w:ascii="Calibri" w:hAnsi="Calibri"/>
                <w:b/>
                <w:color w:val="141414"/>
              </w:rPr>
              <w:t>Variant</w:t>
            </w:r>
          </w:p>
        </w:tc>
        <w:tc>
          <w:tcPr>
            <w:tcW w:type="dxa" w:w="2500"/>
            <w:shd w:fill="F2F4F7"/>
            <w:tcMar>
              <w:top w:w="80" w:type="dxa"/>
              <w:start w:w="120" w:type="dxa"/>
              <w:bottom w:w="80" w:type="dxa"/>
              <w:end w:w="120" w:type="dxa"/>
            </w:tcMar>
            <w:vAlign w:val="top"/>
          </w:tcPr>
          <w:p>
            <w:pPr>
              <w:spacing w:after="0"/>
            </w:pPr>
            <w:r>
              <w:rPr>
                <w:rFonts w:ascii="Calibri" w:hAnsi="Calibri"/>
                <w:b/>
                <w:color w:val="141414"/>
              </w:rPr>
              <w:t>Component</w:t>
            </w:r>
          </w:p>
        </w:tc>
        <w:tc>
          <w:tcPr>
            <w:tcW w:type="dxa" w:w="1900"/>
            <w:shd w:fill="F2F4F7"/>
            <w:tcMar>
              <w:top w:w="80" w:type="dxa"/>
              <w:start w:w="120" w:type="dxa"/>
              <w:bottom w:w="80" w:type="dxa"/>
              <w:end w:w="120" w:type="dxa"/>
            </w:tcMar>
            <w:vAlign w:val="top"/>
          </w:tcPr>
          <w:p>
            <w:pPr>
              <w:spacing w:after="0"/>
            </w:pPr>
            <w:r>
              <w:rPr>
                <w:rFonts w:ascii="Calibri" w:hAnsi="Calibri"/>
                <w:b/>
                <w:color w:val="141414"/>
              </w:rPr>
              <w:t>Spectral radius</w:t>
            </w:r>
          </w:p>
        </w:tc>
        <w:tc>
          <w:tcPr>
            <w:tcW w:type="dxa" w:w="1700"/>
            <w:shd w:fill="F2F4F7"/>
            <w:tcMar>
              <w:top w:w="80" w:type="dxa"/>
              <w:start w:w="120" w:type="dxa"/>
              <w:bottom w:w="80" w:type="dxa"/>
              <w:end w:w="120" w:type="dxa"/>
            </w:tcMar>
            <w:vAlign w:val="top"/>
          </w:tcPr>
          <w:p>
            <w:pPr>
              <w:spacing w:after="0"/>
            </w:pPr>
            <w:r>
              <w:rPr>
                <w:rFonts w:ascii="Calibri" w:hAnsi="Calibri"/>
                <w:b/>
                <w:color w:val="141414"/>
              </w:rPr>
              <w:t>Dominant real</w:t>
            </w:r>
          </w:p>
        </w:tc>
        <w:tc>
          <w:tcPr>
            <w:tcW w:type="dxa" w:w="1660"/>
            <w:shd w:fill="F2F4F7"/>
            <w:tcMar>
              <w:top w:w="80" w:type="dxa"/>
              <w:start w:w="120" w:type="dxa"/>
              <w:bottom w:w="80" w:type="dxa"/>
              <w:end w:w="120" w:type="dxa"/>
            </w:tcMar>
            <w:vAlign w:val="top"/>
          </w:tcPr>
          <w:p>
            <w:pPr>
              <w:spacing w:after="0"/>
            </w:pPr>
            <w:r>
              <w:rPr>
                <w:rFonts w:ascii="Calibri" w:hAnsi="Calibri"/>
                <w:b/>
                <w:color w:val="141414"/>
              </w:rPr>
              <w:t>rho(M_II / z)</w:t>
            </w:r>
          </w:p>
        </w:tc>
      </w:tr>
      <w:tr>
        <w:tc>
          <w:tcPr>
            <w:tcW w:type="dxa" w:w="1600"/>
            <w:tcMar>
              <w:top w:w="80" w:type="dxa"/>
              <w:start w:w="120" w:type="dxa"/>
              <w:bottom w:w="80" w:type="dxa"/>
              <w:end w:w="120" w:type="dxa"/>
            </w:tcMar>
            <w:vAlign w:val="top"/>
          </w:tcPr>
          <w:p>
            <w:pPr>
              <w:spacing w:after="0"/>
            </w:pPr>
            <w:r>
              <w:rPr>
                <w:rFonts w:ascii="Calibri" w:hAnsi="Calibri"/>
                <w:color w:val="141414"/>
              </w:rPr>
              <w:t>with_self</w:t>
            </w:r>
          </w:p>
        </w:tc>
        <w:tc>
          <w:tcPr>
            <w:tcW w:type="dxa" w:w="2500"/>
            <w:tcMar>
              <w:top w:w="80" w:type="dxa"/>
              <w:start w:w="120" w:type="dxa"/>
              <w:bottom w:w="80" w:type="dxa"/>
              <w:end w:w="120" w:type="dxa"/>
            </w:tcMar>
            <w:vAlign w:val="top"/>
          </w:tcPr>
          <w:p>
            <w:pPr>
              <w:spacing w:after="0"/>
            </w:pPr>
            <w:r>
              <w:rPr>
                <w:rFonts w:ascii="Calibri" w:hAnsi="Calibri"/>
                <w:color w:val="141414"/>
              </w:rPr>
              <w:t>M_EE</w:t>
            </w:r>
          </w:p>
        </w:tc>
        <w:tc>
          <w:tcPr>
            <w:tcW w:type="dxa" w:w="1900"/>
            <w:tcMar>
              <w:top w:w="80" w:type="dxa"/>
              <w:start w:w="120" w:type="dxa"/>
              <w:bottom w:w="80" w:type="dxa"/>
              <w:end w:w="120" w:type="dxa"/>
            </w:tcMar>
            <w:vAlign w:val="top"/>
          </w:tcPr>
          <w:p>
            <w:pPr>
              <w:spacing w:after="0"/>
            </w:pPr>
            <w:r>
              <w:rPr>
                <w:rFonts w:ascii="Calibri" w:hAnsi="Calibri"/>
                <w:color w:val="141414"/>
              </w:rPr>
              <w:t>1.042</w:t>
            </w:r>
          </w:p>
        </w:tc>
        <w:tc>
          <w:tcPr>
            <w:tcW w:type="dxa" w:w="1700"/>
            <w:tcMar>
              <w:top w:w="80" w:type="dxa"/>
              <w:start w:w="120" w:type="dxa"/>
              <w:bottom w:w="80" w:type="dxa"/>
              <w:end w:w="120" w:type="dxa"/>
            </w:tcMar>
            <w:vAlign w:val="top"/>
          </w:tcPr>
          <w:p>
            <w:pPr>
              <w:spacing w:after="0"/>
            </w:pPr>
            <w:r>
              <w:rPr>
                <w:rFonts w:ascii="Calibri" w:hAnsi="Calibri"/>
                <w:color w:val="141414"/>
              </w:rPr>
              <w:t>1.042</w:t>
            </w:r>
          </w:p>
        </w:tc>
        <w:tc>
          <w:tcPr>
            <w:tcW w:type="dxa" w:w="1660"/>
            <w:tcMar>
              <w:top w:w="80" w:type="dxa"/>
              <w:start w:w="120" w:type="dxa"/>
              <w:bottom w:w="80" w:type="dxa"/>
              <w:end w:w="120" w:type="dxa"/>
            </w:tcMar>
            <w:vAlign w:val="top"/>
          </w:tcPr>
          <w:p>
            <w:pPr>
              <w:spacing w:after="0"/>
            </w:pPr>
            <w:r>
              <w:rPr>
                <w:rFonts w:ascii="Calibri" w:hAnsi="Calibri"/>
                <w:color w:val="141414"/>
              </w:rPr>
              <w:t>0.182</w:t>
            </w:r>
          </w:p>
        </w:tc>
      </w:tr>
      <w:tr>
        <w:tc>
          <w:tcPr>
            <w:tcW w:type="dxa" w:w="1600"/>
            <w:tcMar>
              <w:top w:w="80" w:type="dxa"/>
              <w:start w:w="120" w:type="dxa"/>
              <w:bottom w:w="80" w:type="dxa"/>
              <w:end w:w="120" w:type="dxa"/>
            </w:tcMar>
            <w:vAlign w:val="top"/>
          </w:tcPr>
          <w:p>
            <w:pPr>
              <w:spacing w:after="0"/>
            </w:pPr>
            <w:r>
              <w:rPr>
                <w:rFonts w:ascii="Calibri" w:hAnsi="Calibri"/>
                <w:color w:val="141414"/>
              </w:rPr>
              <w:t>with_self</w:t>
            </w:r>
          </w:p>
        </w:tc>
        <w:tc>
          <w:tcPr>
            <w:tcW w:type="dxa" w:w="2500"/>
            <w:tcMar>
              <w:top w:w="80" w:type="dxa"/>
              <w:start w:w="120" w:type="dxa"/>
              <w:bottom w:w="80" w:type="dxa"/>
              <w:end w:w="120" w:type="dxa"/>
            </w:tcMar>
            <w:vAlign w:val="top"/>
          </w:tcPr>
          <w:p>
            <w:pPr>
              <w:spacing w:after="0"/>
            </w:pPr>
            <w:r>
              <w:rPr>
                <w:rFonts w:ascii="Calibri" w:hAnsi="Calibri"/>
                <w:color w:val="141414"/>
              </w:rPr>
              <w:t>inhibitory_feedback</w:t>
            </w:r>
          </w:p>
        </w:tc>
        <w:tc>
          <w:tcPr>
            <w:tcW w:type="dxa" w:w="1900"/>
            <w:tcMar>
              <w:top w:w="80" w:type="dxa"/>
              <w:start w:w="120" w:type="dxa"/>
              <w:bottom w:w="80" w:type="dxa"/>
              <w:end w:w="120" w:type="dxa"/>
            </w:tcMar>
            <w:vAlign w:val="top"/>
          </w:tcPr>
          <w:p>
            <w:pPr>
              <w:spacing w:after="0"/>
            </w:pPr>
            <w:r>
              <w:rPr>
                <w:rFonts w:ascii="Calibri" w:hAnsi="Calibri"/>
                <w:color w:val="141414"/>
              </w:rPr>
              <w:t>0.116</w:t>
            </w:r>
          </w:p>
        </w:tc>
        <w:tc>
          <w:tcPr>
            <w:tcW w:type="dxa" w:w="1700"/>
            <w:tcMar>
              <w:top w:w="80" w:type="dxa"/>
              <w:start w:w="120" w:type="dxa"/>
              <w:bottom w:w="80" w:type="dxa"/>
              <w:end w:w="120" w:type="dxa"/>
            </w:tcMar>
            <w:vAlign w:val="top"/>
          </w:tcPr>
          <w:p>
            <w:pPr>
              <w:spacing w:after="0"/>
            </w:pPr>
            <w:r>
              <w:rPr>
                <w:rFonts w:ascii="Calibri" w:hAnsi="Calibri"/>
                <w:color w:val="141414"/>
              </w:rPr>
              <w:t>0.006</w:t>
            </w:r>
          </w:p>
        </w:tc>
        <w:tc>
          <w:tcPr>
            <w:tcW w:type="dxa" w:w="1660"/>
            <w:tcMar>
              <w:top w:w="80" w:type="dxa"/>
              <w:start w:w="120" w:type="dxa"/>
              <w:bottom w:w="80" w:type="dxa"/>
              <w:end w:w="120" w:type="dxa"/>
            </w:tcMar>
            <w:vAlign w:val="top"/>
          </w:tcPr>
          <w:p>
            <w:pPr>
              <w:spacing w:after="0"/>
            </w:pPr>
            <w:r>
              <w:rPr>
                <w:rFonts w:ascii="Calibri" w:hAnsi="Calibri"/>
                <w:color w:val="141414"/>
              </w:rPr>
              <w:t>0.182</w:t>
            </w:r>
          </w:p>
        </w:tc>
      </w:tr>
      <w:tr>
        <w:tc>
          <w:tcPr>
            <w:tcW w:type="dxa" w:w="1600"/>
            <w:tcMar>
              <w:top w:w="80" w:type="dxa"/>
              <w:start w:w="120" w:type="dxa"/>
              <w:bottom w:w="80" w:type="dxa"/>
              <w:end w:w="120" w:type="dxa"/>
            </w:tcMar>
            <w:vAlign w:val="top"/>
          </w:tcPr>
          <w:p>
            <w:pPr>
              <w:spacing w:after="0"/>
            </w:pPr>
            <w:r>
              <w:rPr>
                <w:rFonts w:ascii="Calibri" w:hAnsi="Calibri"/>
                <w:color w:val="141414"/>
              </w:rPr>
              <w:t>with_self</w:t>
            </w:r>
          </w:p>
        </w:tc>
        <w:tc>
          <w:tcPr>
            <w:tcW w:type="dxa" w:w="2500"/>
            <w:tcMar>
              <w:top w:w="80" w:type="dxa"/>
              <w:start w:w="120" w:type="dxa"/>
              <w:bottom w:w="80" w:type="dxa"/>
              <w:end w:w="120" w:type="dxa"/>
            </w:tcMar>
            <w:vAlign w:val="top"/>
          </w:tcPr>
          <w:p>
            <w:pPr>
              <w:spacing w:after="0"/>
            </w:pPr>
            <w:r>
              <w:rPr>
                <w:rFonts w:ascii="Calibri" w:hAnsi="Calibri"/>
                <w:color w:val="141414"/>
              </w:rPr>
              <w:t>M_eff_E</w:t>
            </w:r>
          </w:p>
        </w:tc>
        <w:tc>
          <w:tcPr>
            <w:tcW w:type="dxa" w:w="1900"/>
            <w:tcMar>
              <w:top w:w="80" w:type="dxa"/>
              <w:start w:w="120" w:type="dxa"/>
              <w:bottom w:w="80" w:type="dxa"/>
              <w:end w:w="120" w:type="dxa"/>
            </w:tcMar>
            <w:vAlign w:val="top"/>
          </w:tcPr>
          <w:p>
            <w:pPr>
              <w:spacing w:after="0"/>
            </w:pPr>
            <w:r>
              <w:rPr>
                <w:rFonts w:ascii="Calibri" w:hAnsi="Calibri"/>
                <w:color w:val="141414"/>
              </w:rPr>
              <w:t>1.000</w:t>
            </w:r>
          </w:p>
        </w:tc>
        <w:tc>
          <w:tcPr>
            <w:tcW w:type="dxa" w:w="1700"/>
            <w:tcMar>
              <w:top w:w="80" w:type="dxa"/>
              <w:start w:w="120" w:type="dxa"/>
              <w:bottom w:w="80" w:type="dxa"/>
              <w:end w:w="120" w:type="dxa"/>
            </w:tcMar>
            <w:vAlign w:val="top"/>
          </w:tcPr>
          <w:p>
            <w:pPr>
              <w:spacing w:after="0"/>
            </w:pPr>
            <w:r>
              <w:rPr>
                <w:rFonts w:ascii="Calibri" w:hAnsi="Calibri"/>
                <w:color w:val="141414"/>
              </w:rPr>
              <w:t>1.000</w:t>
            </w:r>
          </w:p>
        </w:tc>
        <w:tc>
          <w:tcPr>
            <w:tcW w:type="dxa" w:w="1660"/>
            <w:tcMar>
              <w:top w:w="80" w:type="dxa"/>
              <w:start w:w="120" w:type="dxa"/>
              <w:bottom w:w="80" w:type="dxa"/>
              <w:end w:w="120" w:type="dxa"/>
            </w:tcMar>
            <w:vAlign w:val="top"/>
          </w:tcPr>
          <w:p>
            <w:pPr>
              <w:spacing w:after="0"/>
            </w:pPr>
            <w:r>
              <w:rPr>
                <w:rFonts w:ascii="Calibri" w:hAnsi="Calibri"/>
                <w:color w:val="141414"/>
              </w:rPr>
              <w:t>0.182</w:t>
            </w:r>
          </w:p>
        </w:tc>
      </w:tr>
      <w:tr>
        <w:tc>
          <w:tcPr>
            <w:tcW w:type="dxa" w:w="1600"/>
            <w:tcMar>
              <w:top w:w="80" w:type="dxa"/>
              <w:start w:w="120" w:type="dxa"/>
              <w:bottom w:w="80" w:type="dxa"/>
              <w:end w:w="120" w:type="dxa"/>
            </w:tcMar>
            <w:vAlign w:val="top"/>
          </w:tcPr>
          <w:p>
            <w:pPr>
              <w:spacing w:after="0"/>
            </w:pPr>
            <w:r>
              <w:rPr>
                <w:rFonts w:ascii="Calibri" w:hAnsi="Calibri"/>
                <w:color w:val="141414"/>
              </w:rPr>
              <w:t>no_self</w:t>
            </w:r>
          </w:p>
        </w:tc>
        <w:tc>
          <w:tcPr>
            <w:tcW w:type="dxa" w:w="2500"/>
            <w:tcMar>
              <w:top w:w="80" w:type="dxa"/>
              <w:start w:w="120" w:type="dxa"/>
              <w:bottom w:w="80" w:type="dxa"/>
              <w:end w:w="120" w:type="dxa"/>
            </w:tcMar>
            <w:vAlign w:val="top"/>
          </w:tcPr>
          <w:p>
            <w:pPr>
              <w:spacing w:after="0"/>
            </w:pPr>
            <w:r>
              <w:rPr>
                <w:rFonts w:ascii="Calibri" w:hAnsi="Calibri"/>
                <w:color w:val="141414"/>
              </w:rPr>
              <w:t>M_EE</w:t>
            </w:r>
          </w:p>
        </w:tc>
        <w:tc>
          <w:tcPr>
            <w:tcW w:type="dxa" w:w="1900"/>
            <w:tcMar>
              <w:top w:w="80" w:type="dxa"/>
              <w:start w:w="120" w:type="dxa"/>
              <w:bottom w:w="80" w:type="dxa"/>
              <w:end w:w="120" w:type="dxa"/>
            </w:tcMar>
            <w:vAlign w:val="top"/>
          </w:tcPr>
          <w:p>
            <w:pPr>
              <w:spacing w:after="0"/>
            </w:pPr>
            <w:r>
              <w:rPr>
                <w:rFonts w:ascii="Calibri" w:hAnsi="Calibri"/>
                <w:color w:val="141414"/>
              </w:rPr>
              <w:t>1.172</w:t>
            </w:r>
          </w:p>
        </w:tc>
        <w:tc>
          <w:tcPr>
            <w:tcW w:type="dxa" w:w="1700"/>
            <w:tcMar>
              <w:top w:w="80" w:type="dxa"/>
              <w:start w:w="120" w:type="dxa"/>
              <w:bottom w:w="80" w:type="dxa"/>
              <w:end w:w="120" w:type="dxa"/>
            </w:tcMar>
            <w:vAlign w:val="top"/>
          </w:tcPr>
          <w:p>
            <w:pPr>
              <w:spacing w:after="0"/>
            </w:pPr>
            <w:r>
              <w:rPr>
                <w:rFonts w:ascii="Calibri" w:hAnsi="Calibri"/>
                <w:color w:val="141414"/>
              </w:rPr>
              <w:t>1.172</w:t>
            </w:r>
          </w:p>
        </w:tc>
        <w:tc>
          <w:tcPr>
            <w:tcW w:type="dxa" w:w="1660"/>
            <w:tcMar>
              <w:top w:w="80" w:type="dxa"/>
              <w:start w:w="120" w:type="dxa"/>
              <w:bottom w:w="80" w:type="dxa"/>
              <w:end w:w="120" w:type="dxa"/>
            </w:tcMar>
            <w:vAlign w:val="top"/>
          </w:tcPr>
          <w:p>
            <w:pPr>
              <w:spacing w:after="0"/>
            </w:pPr>
            <w:r>
              <w:rPr>
                <w:rFonts w:ascii="Calibri" w:hAnsi="Calibri"/>
                <w:color w:val="141414"/>
              </w:rPr>
              <w:t>0.137</w:t>
            </w:r>
          </w:p>
        </w:tc>
      </w:tr>
      <w:tr>
        <w:tc>
          <w:tcPr>
            <w:tcW w:type="dxa" w:w="1600"/>
            <w:tcMar>
              <w:top w:w="80" w:type="dxa"/>
              <w:start w:w="120" w:type="dxa"/>
              <w:bottom w:w="80" w:type="dxa"/>
              <w:end w:w="120" w:type="dxa"/>
            </w:tcMar>
            <w:vAlign w:val="top"/>
          </w:tcPr>
          <w:p>
            <w:pPr>
              <w:spacing w:after="0"/>
            </w:pPr>
            <w:r>
              <w:rPr>
                <w:rFonts w:ascii="Calibri" w:hAnsi="Calibri"/>
                <w:color w:val="141414"/>
              </w:rPr>
              <w:t>no_self</w:t>
            </w:r>
          </w:p>
        </w:tc>
        <w:tc>
          <w:tcPr>
            <w:tcW w:type="dxa" w:w="2500"/>
            <w:tcMar>
              <w:top w:w="80" w:type="dxa"/>
              <w:start w:w="120" w:type="dxa"/>
              <w:bottom w:w="80" w:type="dxa"/>
              <w:end w:w="120" w:type="dxa"/>
            </w:tcMar>
            <w:vAlign w:val="top"/>
          </w:tcPr>
          <w:p>
            <w:pPr>
              <w:spacing w:after="0"/>
            </w:pPr>
            <w:r>
              <w:rPr>
                <w:rFonts w:ascii="Calibri" w:hAnsi="Calibri"/>
                <w:color w:val="141414"/>
              </w:rPr>
              <w:t>inhibitory_feedback</w:t>
            </w:r>
          </w:p>
        </w:tc>
        <w:tc>
          <w:tcPr>
            <w:tcW w:type="dxa" w:w="1900"/>
            <w:tcMar>
              <w:top w:w="80" w:type="dxa"/>
              <w:start w:w="120" w:type="dxa"/>
              <w:bottom w:w="80" w:type="dxa"/>
              <w:end w:w="120" w:type="dxa"/>
            </w:tcMar>
            <w:vAlign w:val="top"/>
          </w:tcPr>
          <w:p>
            <w:pPr>
              <w:spacing w:after="0"/>
            </w:pPr>
            <w:r>
              <w:rPr>
                <w:rFonts w:ascii="Calibri" w:hAnsi="Calibri"/>
                <w:color w:val="141414"/>
              </w:rPr>
              <w:t>0.365</w:t>
            </w:r>
          </w:p>
        </w:tc>
        <w:tc>
          <w:tcPr>
            <w:tcW w:type="dxa" w:w="1700"/>
            <w:tcMar>
              <w:top w:w="80" w:type="dxa"/>
              <w:start w:w="120" w:type="dxa"/>
              <w:bottom w:w="80" w:type="dxa"/>
              <w:end w:w="120" w:type="dxa"/>
            </w:tcMar>
            <w:vAlign w:val="top"/>
          </w:tcPr>
          <w:p>
            <w:pPr>
              <w:spacing w:after="0"/>
            </w:pPr>
            <w:r>
              <w:rPr>
                <w:rFonts w:ascii="Calibri" w:hAnsi="Calibri"/>
                <w:color w:val="141414"/>
              </w:rPr>
              <w:t>0.018</w:t>
            </w:r>
          </w:p>
        </w:tc>
        <w:tc>
          <w:tcPr>
            <w:tcW w:type="dxa" w:w="1660"/>
            <w:tcMar>
              <w:top w:w="80" w:type="dxa"/>
              <w:start w:w="120" w:type="dxa"/>
              <w:bottom w:w="80" w:type="dxa"/>
              <w:end w:w="120" w:type="dxa"/>
            </w:tcMar>
            <w:vAlign w:val="top"/>
          </w:tcPr>
          <w:p>
            <w:pPr>
              <w:spacing w:after="0"/>
            </w:pPr>
            <w:r>
              <w:rPr>
                <w:rFonts w:ascii="Calibri" w:hAnsi="Calibri"/>
                <w:color w:val="141414"/>
              </w:rPr>
              <w:t>0.137</w:t>
            </w:r>
          </w:p>
        </w:tc>
      </w:tr>
      <w:tr>
        <w:tc>
          <w:tcPr>
            <w:tcW w:type="dxa" w:w="1600"/>
            <w:tcMar>
              <w:top w:w="80" w:type="dxa"/>
              <w:start w:w="120" w:type="dxa"/>
              <w:bottom w:w="80" w:type="dxa"/>
              <w:end w:w="120" w:type="dxa"/>
            </w:tcMar>
            <w:vAlign w:val="top"/>
          </w:tcPr>
          <w:p>
            <w:pPr>
              <w:spacing w:after="0"/>
            </w:pPr>
            <w:r>
              <w:rPr>
                <w:rFonts w:ascii="Calibri" w:hAnsi="Calibri"/>
                <w:color w:val="141414"/>
              </w:rPr>
              <w:t>no_self</w:t>
            </w:r>
          </w:p>
        </w:tc>
        <w:tc>
          <w:tcPr>
            <w:tcW w:type="dxa" w:w="2500"/>
            <w:tcMar>
              <w:top w:w="80" w:type="dxa"/>
              <w:start w:w="120" w:type="dxa"/>
              <w:bottom w:w="80" w:type="dxa"/>
              <w:end w:w="120" w:type="dxa"/>
            </w:tcMar>
            <w:vAlign w:val="top"/>
          </w:tcPr>
          <w:p>
            <w:pPr>
              <w:spacing w:after="0"/>
            </w:pPr>
            <w:r>
              <w:rPr>
                <w:rFonts w:ascii="Calibri" w:hAnsi="Calibri"/>
                <w:color w:val="141414"/>
              </w:rPr>
              <w:t>M_eff_E</w:t>
            </w:r>
          </w:p>
        </w:tc>
        <w:tc>
          <w:tcPr>
            <w:tcW w:type="dxa" w:w="1900"/>
            <w:tcMar>
              <w:top w:w="80" w:type="dxa"/>
              <w:start w:w="120" w:type="dxa"/>
              <w:bottom w:w="80" w:type="dxa"/>
              <w:end w:w="120" w:type="dxa"/>
            </w:tcMar>
            <w:vAlign w:val="top"/>
          </w:tcPr>
          <w:p>
            <w:pPr>
              <w:spacing w:after="0"/>
            </w:pPr>
            <w:r>
              <w:rPr>
                <w:rFonts w:ascii="Calibri" w:hAnsi="Calibri"/>
                <w:color w:val="141414"/>
              </w:rPr>
              <w:t>1.000</w:t>
            </w:r>
          </w:p>
        </w:tc>
        <w:tc>
          <w:tcPr>
            <w:tcW w:type="dxa" w:w="1700"/>
            <w:tcMar>
              <w:top w:w="80" w:type="dxa"/>
              <w:start w:w="120" w:type="dxa"/>
              <w:bottom w:w="80" w:type="dxa"/>
              <w:end w:w="120" w:type="dxa"/>
            </w:tcMar>
            <w:vAlign w:val="top"/>
          </w:tcPr>
          <w:p>
            <w:pPr>
              <w:spacing w:after="0"/>
            </w:pPr>
            <w:r>
              <w:rPr>
                <w:rFonts w:ascii="Calibri" w:hAnsi="Calibri"/>
                <w:color w:val="141414"/>
              </w:rPr>
              <w:t>1.000</w:t>
            </w:r>
          </w:p>
        </w:tc>
        <w:tc>
          <w:tcPr>
            <w:tcW w:type="dxa" w:w="1660"/>
            <w:tcMar>
              <w:top w:w="80" w:type="dxa"/>
              <w:start w:w="120" w:type="dxa"/>
              <w:bottom w:w="80" w:type="dxa"/>
              <w:end w:w="120" w:type="dxa"/>
            </w:tcMar>
            <w:vAlign w:val="top"/>
          </w:tcPr>
          <w:p>
            <w:pPr>
              <w:spacing w:after="0"/>
            </w:pPr>
            <w:r>
              <w:rPr>
                <w:rFonts w:ascii="Calibri" w:hAnsi="Calibri"/>
                <w:color w:val="141414"/>
              </w:rPr>
              <w:t>0.137</w:t>
            </w:r>
          </w:p>
        </w:tc>
      </w:tr>
    </w:tbl>
    <w:p>
      <w:pPr>
        <w:spacing w:after="40"/>
      </w:pPr>
    </w:p>
    <w:p>
      <w:pPr>
        <w:spacing w:before="0" w:after="120" w:line="264" w:lineRule="auto"/>
      </w:pPr>
      <w:r>
        <w:rPr>
          <w:rFonts w:ascii="Calibri" w:hAnsi="Calibri"/>
          <w:color w:val="141414"/>
        </w:rPr>
        <w:t>The Schur complement keeps the effective excitatory mode at the normalized scale while exposing that the inhibitory feedback component itself has much smaller spectral radius than direct E-to-E recurrence. This supports the interpretation that inhibition is not the primary amplifier but a structured feedback channel.</w:t>
      </w:r>
    </w:p>
    <w:p>
      <w:pPr>
        <w:spacing w:before="80" w:after="0"/>
        <w:jc w:val="center"/>
      </w:pPr>
      <w:r>
        <w:drawing>
          <wp:inline xmlns:a="http://schemas.openxmlformats.org/drawingml/2006/main" xmlns:pic="http://schemas.openxmlformats.org/drawingml/2006/picture">
            <wp:extent cx="5806440" cy="2842350"/>
            <wp:docPr id="2" name="Picture 2"/>
            <wp:cNvGraphicFramePr>
              <a:graphicFrameLocks noChangeAspect="1"/>
            </wp:cNvGraphicFramePr>
            <a:graphic>
              <a:graphicData uri="http://schemas.openxmlformats.org/drawingml/2006/picture">
                <pic:pic>
                  <pic:nvPicPr>
                    <pic:cNvPr id="0" name="schur_summary_by_variant.png"/>
                    <pic:cNvPicPr/>
                  </pic:nvPicPr>
                  <pic:blipFill>
                    <a:blip r:embed="rId12"/>
                    <a:stretch>
                      <a:fillRect/>
                    </a:stretch>
                  </pic:blipFill>
                  <pic:spPr>
                    <a:xfrm>
                      <a:off x="0" y="0"/>
                      <a:ext cx="5806440" cy="2842350"/>
                    </a:xfrm>
                    <a:prstGeom prst="rect"/>
                  </pic:spPr>
                </pic:pic>
              </a:graphicData>
            </a:graphic>
          </wp:inline>
        </w:drawing>
      </w:r>
    </w:p>
    <w:p>
      <w:pPr>
        <w:spacing w:before="60" w:after="180"/>
        <w:jc w:val="center"/>
      </w:pPr>
      <w:r>
        <w:rPr>
          <w:rFonts w:ascii="Calibri" w:hAnsi="Calibri"/>
          <w:i/>
          <w:color w:val="5A5A5A"/>
          <w:sz w:val="19"/>
        </w:rPr>
        <w:t>Figure 2. Spectral summaries for direct E dynamics, inhibitory feedback, and effective E dynamics.</w:t>
      </w:r>
    </w:p>
    <w:p>
      <w:pPr>
        <w:pStyle w:val="Heading2"/>
        <w:spacing w:before="240" w:after="120"/>
      </w:pPr>
      <w:r>
        <w:rPr>
          <w:rFonts w:ascii="Calibri" w:hAnsi="Calibri"/>
          <w:b/>
          <w:color w:val="2E74B5"/>
          <w:sz w:val="26"/>
        </w:rPr>
        <w:t>3. Disinhibitory motifs are strongly enriched</w:t>
      </w:r>
    </w:p>
    <w:tbl>
      <w:tblPr>
        <w:tblStyle w:val="TableGrid"/>
        <w:tblW w:type="dxa" w:w="9360"/>
        <w:jc w:val="left"/>
        <w:tblLayout w:type="fixed"/>
        <w:tblLook w:firstColumn="1" w:firstRow="1" w:lastColumn="0" w:lastRow="0" w:noHBand="0" w:noVBand="1" w:val="04A0"/>
        <w:tblInd w:w="120" w:type="dxa"/>
      </w:tblPr>
      <w:tblGrid>
        <w:gridCol w:w="1500"/>
        <w:gridCol w:w="3100"/>
        <w:gridCol w:w="1700"/>
        <w:gridCol w:w="1500"/>
        <w:gridCol w:w="1560"/>
      </w:tblGrid>
      <w:tr>
        <w:tc>
          <w:tcPr>
            <w:tcW w:type="dxa" w:w="1500"/>
            <w:shd w:fill="F2F4F7"/>
            <w:tcMar>
              <w:top w:w="80" w:type="dxa"/>
              <w:start w:w="120" w:type="dxa"/>
              <w:bottom w:w="80" w:type="dxa"/>
              <w:end w:w="120" w:type="dxa"/>
            </w:tcMar>
            <w:vAlign w:val="top"/>
          </w:tcPr>
          <w:p>
            <w:pPr>
              <w:spacing w:after="0"/>
            </w:pPr>
            <w:r>
              <w:rPr>
                <w:rFonts w:ascii="Calibri" w:hAnsi="Calibri"/>
                <w:b/>
                <w:color w:val="141414"/>
              </w:rPr>
              <w:t>Variant</w:t>
            </w:r>
          </w:p>
        </w:tc>
        <w:tc>
          <w:tcPr>
            <w:tcW w:type="dxa" w:w="3100"/>
            <w:shd w:fill="F2F4F7"/>
            <w:tcMar>
              <w:top w:w="80" w:type="dxa"/>
              <w:start w:w="120" w:type="dxa"/>
              <w:bottom w:w="80" w:type="dxa"/>
              <w:end w:w="120" w:type="dxa"/>
            </w:tcMar>
            <w:vAlign w:val="top"/>
          </w:tcPr>
          <w:p>
            <w:pPr>
              <w:spacing w:after="0"/>
            </w:pPr>
            <w:r>
              <w:rPr>
                <w:rFonts w:ascii="Calibri" w:hAnsi="Calibri"/>
                <w:b/>
                <w:color w:val="141414"/>
              </w:rPr>
              <w:t>Motif</w:t>
            </w:r>
          </w:p>
        </w:tc>
        <w:tc>
          <w:tcPr>
            <w:tcW w:type="dxa" w:w="1700"/>
            <w:shd w:fill="F2F4F7"/>
            <w:tcMar>
              <w:top w:w="80" w:type="dxa"/>
              <w:start w:w="120" w:type="dxa"/>
              <w:bottom w:w="80" w:type="dxa"/>
              <w:end w:w="120" w:type="dxa"/>
            </w:tcMar>
            <w:vAlign w:val="top"/>
          </w:tcPr>
          <w:p>
            <w:pPr>
              <w:spacing w:after="0"/>
            </w:pPr>
            <w:r>
              <w:rPr>
                <w:rFonts w:ascii="Calibri" w:hAnsi="Calibri"/>
                <w:b/>
                <w:color w:val="141414"/>
              </w:rPr>
              <w:t>Observed count</w:t>
            </w:r>
          </w:p>
        </w:tc>
        <w:tc>
          <w:tcPr>
            <w:tcW w:type="dxa" w:w="1500"/>
            <w:shd w:fill="F2F4F7"/>
            <w:tcMar>
              <w:top w:w="80" w:type="dxa"/>
              <w:start w:w="120" w:type="dxa"/>
              <w:bottom w:w="80" w:type="dxa"/>
              <w:end w:w="120" w:type="dxa"/>
            </w:tcMar>
            <w:vAlign w:val="top"/>
          </w:tcPr>
          <w:p>
            <w:pPr>
              <w:spacing w:after="0"/>
            </w:pPr>
            <w:r>
              <w:rPr>
                <w:rFonts w:ascii="Calibri" w:hAnsi="Calibri"/>
                <w:b/>
                <w:color w:val="141414"/>
              </w:rPr>
              <w:t>Null z-score</w:t>
            </w:r>
          </w:p>
        </w:tc>
        <w:tc>
          <w:tcPr>
            <w:tcW w:type="dxa" w:w="1560"/>
            <w:shd w:fill="F2F4F7"/>
            <w:tcMar>
              <w:top w:w="80" w:type="dxa"/>
              <w:start w:w="120" w:type="dxa"/>
              <w:bottom w:w="80" w:type="dxa"/>
              <w:end w:w="120" w:type="dxa"/>
            </w:tcMar>
            <w:vAlign w:val="top"/>
          </w:tcPr>
          <w:p>
            <w:pPr>
              <w:spacing w:after="0"/>
            </w:pPr>
            <w:r>
              <w:rPr>
                <w:rFonts w:ascii="Calibri" w:hAnsi="Calibri"/>
                <w:b/>
                <w:color w:val="141414"/>
              </w:rPr>
              <w:t>Empirical p &gt;= observed</w:t>
            </w:r>
          </w:p>
        </w:tc>
      </w:tr>
      <w:tr>
        <w:tc>
          <w:tcPr>
            <w:tcW w:type="dxa" w:w="1500"/>
            <w:tcMar>
              <w:top w:w="80" w:type="dxa"/>
              <w:start w:w="120" w:type="dxa"/>
              <w:bottom w:w="80" w:type="dxa"/>
              <w:end w:w="120" w:type="dxa"/>
            </w:tcMar>
            <w:vAlign w:val="top"/>
          </w:tcPr>
          <w:p>
            <w:pPr>
              <w:spacing w:after="0"/>
            </w:pPr>
            <w:r>
              <w:rPr>
                <w:rFonts w:ascii="Calibri" w:hAnsi="Calibri"/>
                <w:color w:val="141414"/>
              </w:rPr>
              <w:t>with_self</w:t>
            </w:r>
          </w:p>
        </w:tc>
        <w:tc>
          <w:tcPr>
            <w:tcW w:type="dxa" w:w="3100"/>
            <w:tcMar>
              <w:top w:w="80" w:type="dxa"/>
              <w:start w:w="120" w:type="dxa"/>
              <w:bottom w:w="80" w:type="dxa"/>
              <w:end w:w="120" w:type="dxa"/>
            </w:tcMar>
            <w:vAlign w:val="top"/>
          </w:tcPr>
          <w:p>
            <w:pPr>
              <w:spacing w:after="0"/>
            </w:pPr>
            <w:r>
              <w:rPr>
                <w:rFonts w:ascii="Calibri" w:hAnsi="Calibri"/>
                <w:color w:val="141414"/>
              </w:rPr>
              <w:t>E_to_I_to_I_to_E_loop</w:t>
            </w:r>
          </w:p>
        </w:tc>
        <w:tc>
          <w:tcPr>
            <w:tcW w:type="dxa" w:w="1700"/>
            <w:tcMar>
              <w:top w:w="80" w:type="dxa"/>
              <w:start w:w="120" w:type="dxa"/>
              <w:bottom w:w="80" w:type="dxa"/>
              <w:end w:w="120" w:type="dxa"/>
            </w:tcMar>
            <w:vAlign w:val="top"/>
          </w:tcPr>
          <w:p>
            <w:pPr>
              <w:spacing w:after="0"/>
            </w:pPr>
            <w:r>
              <w:rPr>
                <w:rFonts w:ascii="Calibri" w:hAnsi="Calibri"/>
                <w:color w:val="141414"/>
              </w:rPr>
              <w:t>12,468</w:t>
            </w:r>
          </w:p>
        </w:tc>
        <w:tc>
          <w:tcPr>
            <w:tcW w:type="dxa" w:w="1500"/>
            <w:tcMar>
              <w:top w:w="80" w:type="dxa"/>
              <w:start w:w="120" w:type="dxa"/>
              <w:bottom w:w="80" w:type="dxa"/>
              <w:end w:w="120" w:type="dxa"/>
            </w:tcMar>
            <w:vAlign w:val="top"/>
          </w:tcPr>
          <w:p>
            <w:pPr>
              <w:spacing w:after="0"/>
            </w:pPr>
            <w:r>
              <w:rPr>
                <w:rFonts w:ascii="Calibri" w:hAnsi="Calibri"/>
                <w:color w:val="141414"/>
              </w:rPr>
              <w:t>56.2</w:t>
            </w:r>
          </w:p>
        </w:tc>
        <w:tc>
          <w:tcPr>
            <w:tcW w:type="dxa" w:w="1560"/>
            <w:tcMar>
              <w:top w:w="80" w:type="dxa"/>
              <w:start w:w="120" w:type="dxa"/>
              <w:bottom w:w="80" w:type="dxa"/>
              <w:end w:w="120" w:type="dxa"/>
            </w:tcMar>
            <w:vAlign w:val="top"/>
          </w:tcPr>
          <w:p>
            <w:pPr>
              <w:spacing w:after="0"/>
            </w:pPr>
            <w:r>
              <w:rPr>
                <w:rFonts w:ascii="Calibri" w:hAnsi="Calibri"/>
                <w:color w:val="141414"/>
              </w:rPr>
              <w:t>0.0040</w:t>
            </w:r>
          </w:p>
        </w:tc>
      </w:tr>
      <w:tr>
        <w:tc>
          <w:tcPr>
            <w:tcW w:type="dxa" w:w="1500"/>
            <w:tcMar>
              <w:top w:w="80" w:type="dxa"/>
              <w:start w:w="120" w:type="dxa"/>
              <w:bottom w:w="80" w:type="dxa"/>
              <w:end w:w="120" w:type="dxa"/>
            </w:tcMar>
            <w:vAlign w:val="top"/>
          </w:tcPr>
          <w:p>
            <w:pPr>
              <w:spacing w:after="0"/>
            </w:pPr>
            <w:r>
              <w:rPr>
                <w:rFonts w:ascii="Calibri" w:hAnsi="Calibri"/>
                <w:color w:val="141414"/>
              </w:rPr>
              <w:t>with_self</w:t>
            </w:r>
          </w:p>
        </w:tc>
        <w:tc>
          <w:tcPr>
            <w:tcW w:type="dxa" w:w="3100"/>
            <w:tcMar>
              <w:top w:w="80" w:type="dxa"/>
              <w:start w:w="120" w:type="dxa"/>
              <w:bottom w:w="80" w:type="dxa"/>
              <w:end w:w="120" w:type="dxa"/>
            </w:tcMar>
            <w:vAlign w:val="top"/>
          </w:tcPr>
          <w:p>
            <w:pPr>
              <w:spacing w:after="0"/>
            </w:pPr>
            <w:r>
              <w:rPr>
                <w:rFonts w:ascii="Calibri" w:hAnsi="Calibri"/>
                <w:color w:val="141414"/>
              </w:rPr>
              <w:t>disinhibitory_I_to_I_to_E</w:t>
            </w:r>
          </w:p>
        </w:tc>
        <w:tc>
          <w:tcPr>
            <w:tcW w:type="dxa" w:w="1700"/>
            <w:tcMar>
              <w:top w:w="80" w:type="dxa"/>
              <w:start w:w="120" w:type="dxa"/>
              <w:bottom w:w="80" w:type="dxa"/>
              <w:end w:w="120" w:type="dxa"/>
            </w:tcMar>
            <w:vAlign w:val="top"/>
          </w:tcPr>
          <w:p>
            <w:pPr>
              <w:spacing w:after="0"/>
            </w:pPr>
            <w:r>
              <w:rPr>
                <w:rFonts w:ascii="Calibri" w:hAnsi="Calibri"/>
                <w:color w:val="141414"/>
              </w:rPr>
              <w:t>1,956</w:t>
            </w:r>
          </w:p>
        </w:tc>
        <w:tc>
          <w:tcPr>
            <w:tcW w:type="dxa" w:w="1500"/>
            <w:tcMar>
              <w:top w:w="80" w:type="dxa"/>
              <w:start w:w="120" w:type="dxa"/>
              <w:bottom w:w="80" w:type="dxa"/>
              <w:end w:w="120" w:type="dxa"/>
            </w:tcMar>
            <w:vAlign w:val="top"/>
          </w:tcPr>
          <w:p>
            <w:pPr>
              <w:spacing w:after="0"/>
            </w:pPr>
            <w:r>
              <w:rPr>
                <w:rFonts w:ascii="Calibri" w:hAnsi="Calibri"/>
                <w:color w:val="141414"/>
              </w:rPr>
              <w:t>29.4</w:t>
            </w:r>
          </w:p>
        </w:tc>
        <w:tc>
          <w:tcPr>
            <w:tcW w:type="dxa" w:w="1560"/>
            <w:tcMar>
              <w:top w:w="80" w:type="dxa"/>
              <w:start w:w="120" w:type="dxa"/>
              <w:bottom w:w="80" w:type="dxa"/>
              <w:end w:w="120" w:type="dxa"/>
            </w:tcMar>
            <w:vAlign w:val="top"/>
          </w:tcPr>
          <w:p>
            <w:pPr>
              <w:spacing w:after="0"/>
            </w:pPr>
            <w:r>
              <w:rPr>
                <w:rFonts w:ascii="Calibri" w:hAnsi="Calibri"/>
                <w:color w:val="141414"/>
              </w:rPr>
              <w:t>0.0040</w:t>
            </w:r>
          </w:p>
        </w:tc>
      </w:tr>
      <w:tr>
        <w:tc>
          <w:tcPr>
            <w:tcW w:type="dxa" w:w="1500"/>
            <w:tcMar>
              <w:top w:w="80" w:type="dxa"/>
              <w:start w:w="120" w:type="dxa"/>
              <w:bottom w:w="80" w:type="dxa"/>
              <w:end w:w="120" w:type="dxa"/>
            </w:tcMar>
            <w:vAlign w:val="top"/>
          </w:tcPr>
          <w:p>
            <w:pPr>
              <w:spacing w:after="0"/>
            </w:pPr>
            <w:r>
              <w:rPr>
                <w:rFonts w:ascii="Calibri" w:hAnsi="Calibri"/>
                <w:color w:val="141414"/>
              </w:rPr>
              <w:t>no_self</w:t>
            </w:r>
          </w:p>
        </w:tc>
        <w:tc>
          <w:tcPr>
            <w:tcW w:type="dxa" w:w="3100"/>
            <w:tcMar>
              <w:top w:w="80" w:type="dxa"/>
              <w:start w:w="120" w:type="dxa"/>
              <w:bottom w:w="80" w:type="dxa"/>
              <w:end w:w="120" w:type="dxa"/>
            </w:tcMar>
            <w:vAlign w:val="top"/>
          </w:tcPr>
          <w:p>
            <w:pPr>
              <w:spacing w:after="0"/>
            </w:pPr>
            <w:r>
              <w:rPr>
                <w:rFonts w:ascii="Calibri" w:hAnsi="Calibri"/>
                <w:color w:val="141414"/>
              </w:rPr>
              <w:t>E_to_I_to_I_to_E_loop</w:t>
            </w:r>
          </w:p>
        </w:tc>
        <w:tc>
          <w:tcPr>
            <w:tcW w:type="dxa" w:w="1700"/>
            <w:tcMar>
              <w:top w:w="80" w:type="dxa"/>
              <w:start w:w="120" w:type="dxa"/>
              <w:bottom w:w="80" w:type="dxa"/>
              <w:end w:w="120" w:type="dxa"/>
            </w:tcMar>
            <w:vAlign w:val="top"/>
          </w:tcPr>
          <w:p>
            <w:pPr>
              <w:spacing w:after="0"/>
            </w:pPr>
            <w:r>
              <w:rPr>
                <w:rFonts w:ascii="Calibri" w:hAnsi="Calibri"/>
                <w:color w:val="141414"/>
              </w:rPr>
              <w:t>11,255</w:t>
            </w:r>
          </w:p>
        </w:tc>
        <w:tc>
          <w:tcPr>
            <w:tcW w:type="dxa" w:w="1500"/>
            <w:tcMar>
              <w:top w:w="80" w:type="dxa"/>
              <w:start w:w="120" w:type="dxa"/>
              <w:bottom w:w="80" w:type="dxa"/>
              <w:end w:w="120" w:type="dxa"/>
            </w:tcMar>
            <w:vAlign w:val="top"/>
          </w:tcPr>
          <w:p>
            <w:pPr>
              <w:spacing w:after="0"/>
            </w:pPr>
            <w:r>
              <w:rPr>
                <w:rFonts w:ascii="Calibri" w:hAnsi="Calibri"/>
                <w:color w:val="141414"/>
              </w:rPr>
              <w:t>54.4</w:t>
            </w:r>
          </w:p>
        </w:tc>
        <w:tc>
          <w:tcPr>
            <w:tcW w:type="dxa" w:w="1560"/>
            <w:tcMar>
              <w:top w:w="80" w:type="dxa"/>
              <w:start w:w="120" w:type="dxa"/>
              <w:bottom w:w="80" w:type="dxa"/>
              <w:end w:w="120" w:type="dxa"/>
            </w:tcMar>
            <w:vAlign w:val="top"/>
          </w:tcPr>
          <w:p>
            <w:pPr>
              <w:spacing w:after="0"/>
            </w:pPr>
            <w:r>
              <w:rPr>
                <w:rFonts w:ascii="Calibri" w:hAnsi="Calibri"/>
                <w:color w:val="141414"/>
              </w:rPr>
              <w:t>0.0040</w:t>
            </w:r>
          </w:p>
        </w:tc>
      </w:tr>
      <w:tr>
        <w:tc>
          <w:tcPr>
            <w:tcW w:type="dxa" w:w="1500"/>
            <w:tcMar>
              <w:top w:w="80" w:type="dxa"/>
              <w:start w:w="120" w:type="dxa"/>
              <w:bottom w:w="80" w:type="dxa"/>
              <w:end w:w="120" w:type="dxa"/>
            </w:tcMar>
            <w:vAlign w:val="top"/>
          </w:tcPr>
          <w:p>
            <w:pPr>
              <w:spacing w:after="0"/>
            </w:pPr>
            <w:r>
              <w:rPr>
                <w:rFonts w:ascii="Calibri" w:hAnsi="Calibri"/>
                <w:color w:val="141414"/>
              </w:rPr>
              <w:t>no_self</w:t>
            </w:r>
          </w:p>
        </w:tc>
        <w:tc>
          <w:tcPr>
            <w:tcW w:type="dxa" w:w="3100"/>
            <w:tcMar>
              <w:top w:w="80" w:type="dxa"/>
              <w:start w:w="120" w:type="dxa"/>
              <w:bottom w:w="80" w:type="dxa"/>
              <w:end w:w="120" w:type="dxa"/>
            </w:tcMar>
            <w:vAlign w:val="top"/>
          </w:tcPr>
          <w:p>
            <w:pPr>
              <w:spacing w:after="0"/>
            </w:pPr>
            <w:r>
              <w:rPr>
                <w:rFonts w:ascii="Calibri" w:hAnsi="Calibri"/>
                <w:color w:val="141414"/>
              </w:rPr>
              <w:t>disinhibitory_I_to_I_to_E</w:t>
            </w:r>
          </w:p>
        </w:tc>
        <w:tc>
          <w:tcPr>
            <w:tcW w:type="dxa" w:w="1700"/>
            <w:tcMar>
              <w:top w:w="80" w:type="dxa"/>
              <w:start w:w="120" w:type="dxa"/>
              <w:bottom w:w="80" w:type="dxa"/>
              <w:end w:w="120" w:type="dxa"/>
            </w:tcMar>
            <w:vAlign w:val="top"/>
          </w:tcPr>
          <w:p>
            <w:pPr>
              <w:spacing w:after="0"/>
            </w:pPr>
            <w:r>
              <w:rPr>
                <w:rFonts w:ascii="Calibri" w:hAnsi="Calibri"/>
                <w:color w:val="141414"/>
              </w:rPr>
              <w:t>1,805</w:t>
            </w:r>
          </w:p>
        </w:tc>
        <w:tc>
          <w:tcPr>
            <w:tcW w:type="dxa" w:w="1500"/>
            <w:tcMar>
              <w:top w:w="80" w:type="dxa"/>
              <w:start w:w="120" w:type="dxa"/>
              <w:bottom w:w="80" w:type="dxa"/>
              <w:end w:w="120" w:type="dxa"/>
            </w:tcMar>
            <w:vAlign w:val="top"/>
          </w:tcPr>
          <w:p>
            <w:pPr>
              <w:spacing w:after="0"/>
            </w:pPr>
            <w:r>
              <w:rPr>
                <w:rFonts w:ascii="Calibri" w:hAnsi="Calibri"/>
                <w:color w:val="141414"/>
              </w:rPr>
              <w:t>29.2</w:t>
            </w:r>
          </w:p>
        </w:tc>
        <w:tc>
          <w:tcPr>
            <w:tcW w:type="dxa" w:w="1560"/>
            <w:tcMar>
              <w:top w:w="80" w:type="dxa"/>
              <w:start w:w="120" w:type="dxa"/>
              <w:bottom w:w="80" w:type="dxa"/>
              <w:end w:w="120" w:type="dxa"/>
            </w:tcMar>
            <w:vAlign w:val="top"/>
          </w:tcPr>
          <w:p>
            <w:pPr>
              <w:spacing w:after="0"/>
            </w:pPr>
            <w:r>
              <w:rPr>
                <w:rFonts w:ascii="Calibri" w:hAnsi="Calibri"/>
                <w:color w:val="141414"/>
              </w:rPr>
              <w:t>0.0040</w:t>
            </w:r>
          </w:p>
        </w:tc>
      </w:tr>
    </w:tbl>
    <w:p>
      <w:pPr>
        <w:spacing w:after="40"/>
      </w:pPr>
    </w:p>
    <w:p>
      <w:pPr>
        <w:spacing w:before="0" w:after="120" w:line="264" w:lineRule="auto"/>
      </w:pPr>
      <w:r>
        <w:rPr>
          <w:rFonts w:ascii="Calibri" w:hAnsi="Calibri"/>
          <w:color w:val="141414"/>
        </w:rPr>
        <w:t>The E-I-I-E motif and related I-to-I-to-E disinhibitory structure are far above shuffled-weight null expectations. This indicates that the signed placement of inhibitory edges is nonrandom with respect to disinhibitory routes.</w:t>
      </w:r>
    </w:p>
    <w:p>
      <w:pPr>
        <w:spacing w:before="80" w:after="0"/>
        <w:jc w:val="center"/>
      </w:pPr>
      <w:r>
        <w:drawing>
          <wp:inline xmlns:a="http://schemas.openxmlformats.org/drawingml/2006/main" xmlns:pic="http://schemas.openxmlformats.org/drawingml/2006/picture">
            <wp:extent cx="5806440" cy="2183867"/>
            <wp:docPr id="3" name="Picture 3"/>
            <wp:cNvGraphicFramePr>
              <a:graphicFrameLocks noChangeAspect="1"/>
            </wp:cNvGraphicFramePr>
            <a:graphic>
              <a:graphicData uri="http://schemas.openxmlformats.org/drawingml/2006/picture">
                <pic:pic>
                  <pic:nvPicPr>
                    <pic:cNvPr id="0" name="motif_enrichment_and_stability_by_variant.png"/>
                    <pic:cNvPicPr/>
                  </pic:nvPicPr>
                  <pic:blipFill>
                    <a:blip r:embed="rId13"/>
                    <a:stretch>
                      <a:fillRect/>
                    </a:stretch>
                  </pic:blipFill>
                  <pic:spPr>
                    <a:xfrm>
                      <a:off x="0" y="0"/>
                      <a:ext cx="5806440" cy="2183867"/>
                    </a:xfrm>
                    <a:prstGeom prst="rect"/>
                  </pic:spPr>
                </pic:pic>
              </a:graphicData>
            </a:graphic>
          </wp:inline>
        </w:drawing>
      </w:r>
    </w:p>
    <w:p>
      <w:pPr>
        <w:spacing w:before="60" w:after="180"/>
        <w:jc w:val="center"/>
      </w:pPr>
      <w:r>
        <w:rPr>
          <w:rFonts w:ascii="Calibri" w:hAnsi="Calibri"/>
          <w:i/>
          <w:color w:val="5A5A5A"/>
          <w:sz w:val="19"/>
        </w:rPr>
        <w:t>Figure 3. Motif enrichment and dominant-eigenvalue stability effects by variant.</w:t>
      </w:r>
    </w:p>
    <w:p>
      <w:pPr>
        <w:pStyle w:val="Heading2"/>
        <w:spacing w:before="240" w:after="120"/>
      </w:pPr>
      <w:r>
        <w:rPr>
          <w:rFonts w:ascii="Calibri" w:hAnsi="Calibri"/>
          <w:b/>
          <w:color w:val="2E74B5"/>
          <w:sz w:val="26"/>
        </w:rPr>
        <w:t>4. Chained inhibitory effects appear short-range</w:t>
      </w:r>
    </w:p>
    <w:tbl>
      <w:tblPr>
        <w:tblStyle w:val="TableGrid"/>
        <w:tblW w:type="dxa" w:w="9360"/>
        <w:jc w:val="left"/>
        <w:tblLayout w:type="fixed"/>
        <w:tblLook w:firstColumn="1" w:firstRow="1" w:lastColumn="0" w:lastRow="0" w:noHBand="0" w:noVBand="1" w:val="04A0"/>
        <w:tblInd w:w="120" w:type="dxa"/>
      </w:tblPr>
      <w:tblGrid>
        <w:gridCol w:w="2600"/>
        <w:gridCol w:w="3300"/>
        <w:gridCol w:w="3460"/>
      </w:tblGrid>
      <w:tr>
        <w:tc>
          <w:tcPr>
            <w:tcW w:type="dxa" w:w="2600"/>
            <w:shd w:fill="F2F4F7"/>
            <w:tcMar>
              <w:top w:w="80" w:type="dxa"/>
              <w:start w:w="120" w:type="dxa"/>
              <w:bottom w:w="80" w:type="dxa"/>
              <w:end w:w="120" w:type="dxa"/>
            </w:tcMar>
            <w:vAlign w:val="top"/>
          </w:tcPr>
          <w:p>
            <w:pPr>
              <w:spacing w:after="0"/>
            </w:pPr>
            <w:r>
              <w:rPr>
                <w:rFonts w:ascii="Calibri" w:hAnsi="Calibri"/>
                <w:b/>
                <w:color w:val="141414"/>
              </w:rPr>
              <w:t>Variant</w:t>
            </w:r>
          </w:p>
        </w:tc>
        <w:tc>
          <w:tcPr>
            <w:tcW w:type="dxa" w:w="3300"/>
            <w:shd w:fill="F2F4F7"/>
            <w:tcMar>
              <w:top w:w="80" w:type="dxa"/>
              <w:start w:w="120" w:type="dxa"/>
              <w:bottom w:w="80" w:type="dxa"/>
              <w:end w:w="120" w:type="dxa"/>
            </w:tcMar>
            <w:vAlign w:val="top"/>
          </w:tcPr>
          <w:p>
            <w:pPr>
              <w:spacing w:after="0"/>
            </w:pPr>
            <w:r>
              <w:rPr>
                <w:rFonts w:ascii="Calibri" w:hAnsi="Calibri"/>
                <w:b/>
                <w:color w:val="141414"/>
              </w:rPr>
              <w:t>Selected I-I chain order</w:t>
            </w:r>
          </w:p>
        </w:tc>
        <w:tc>
          <w:tcPr>
            <w:tcW w:type="dxa" w:w="3460"/>
            <w:shd w:fill="F2F4F7"/>
            <w:tcMar>
              <w:top w:w="80" w:type="dxa"/>
              <w:start w:w="120" w:type="dxa"/>
              <w:bottom w:w="80" w:type="dxa"/>
              <w:end w:w="120" w:type="dxa"/>
            </w:tcMar>
            <w:vAlign w:val="top"/>
          </w:tcPr>
          <w:p>
            <w:pPr>
              <w:spacing w:after="0"/>
            </w:pPr>
            <w:r>
              <w:rPr>
                <w:rFonts w:ascii="Calibri" w:hAnsi="Calibri"/>
                <w:b/>
                <w:color w:val="141414"/>
              </w:rPr>
              <w:t>alpha rho(M_II)</w:t>
            </w:r>
          </w:p>
        </w:tc>
      </w:tr>
      <w:tr>
        <w:tc>
          <w:tcPr>
            <w:tcW w:type="dxa" w:w="2600"/>
            <w:tcMar>
              <w:top w:w="80" w:type="dxa"/>
              <w:start w:w="120" w:type="dxa"/>
              <w:bottom w:w="80" w:type="dxa"/>
              <w:end w:w="120" w:type="dxa"/>
            </w:tcMar>
            <w:vAlign w:val="top"/>
          </w:tcPr>
          <w:p>
            <w:pPr>
              <w:spacing w:after="0"/>
            </w:pPr>
            <w:r>
              <w:rPr>
                <w:rFonts w:ascii="Calibri" w:hAnsi="Calibri"/>
                <w:color w:val="141414"/>
              </w:rPr>
              <w:t>with_self</w:t>
            </w:r>
          </w:p>
        </w:tc>
        <w:tc>
          <w:tcPr>
            <w:tcW w:type="dxa" w:w="3300"/>
            <w:tcMar>
              <w:top w:w="80" w:type="dxa"/>
              <w:start w:w="120" w:type="dxa"/>
              <w:bottom w:w="80" w:type="dxa"/>
              <w:end w:w="120" w:type="dxa"/>
            </w:tcMar>
            <w:vAlign w:val="top"/>
          </w:tcPr>
          <w:p>
            <w:pPr>
              <w:spacing w:after="0"/>
            </w:pPr>
            <w:r>
              <w:rPr>
                <w:rFonts w:ascii="Calibri" w:hAnsi="Calibri"/>
                <w:color w:val="141414"/>
              </w:rPr>
              <w:t>2</w:t>
            </w:r>
          </w:p>
        </w:tc>
        <w:tc>
          <w:tcPr>
            <w:tcW w:type="dxa" w:w="3460"/>
            <w:tcMar>
              <w:top w:w="80" w:type="dxa"/>
              <w:start w:w="120" w:type="dxa"/>
              <w:bottom w:w="80" w:type="dxa"/>
              <w:end w:w="120" w:type="dxa"/>
            </w:tcMar>
            <w:vAlign w:val="top"/>
          </w:tcPr>
          <w:p>
            <w:pPr>
              <w:spacing w:after="0"/>
            </w:pPr>
            <w:r>
              <w:rPr>
                <w:rFonts w:ascii="Calibri" w:hAnsi="Calibri"/>
                <w:color w:val="141414"/>
              </w:rPr>
              <w:t>0.155</w:t>
            </w:r>
          </w:p>
        </w:tc>
      </w:tr>
      <w:tr>
        <w:tc>
          <w:tcPr>
            <w:tcW w:type="dxa" w:w="2600"/>
            <w:tcMar>
              <w:top w:w="80" w:type="dxa"/>
              <w:start w:w="120" w:type="dxa"/>
              <w:bottom w:w="80" w:type="dxa"/>
              <w:end w:w="120" w:type="dxa"/>
            </w:tcMar>
            <w:vAlign w:val="top"/>
          </w:tcPr>
          <w:p>
            <w:pPr>
              <w:spacing w:after="0"/>
            </w:pPr>
            <w:r>
              <w:rPr>
                <w:rFonts w:ascii="Calibri" w:hAnsi="Calibri"/>
                <w:color w:val="141414"/>
              </w:rPr>
              <w:t>no_self</w:t>
            </w:r>
          </w:p>
        </w:tc>
        <w:tc>
          <w:tcPr>
            <w:tcW w:type="dxa" w:w="3300"/>
            <w:tcMar>
              <w:top w:w="80" w:type="dxa"/>
              <w:start w:w="120" w:type="dxa"/>
              <w:bottom w:w="80" w:type="dxa"/>
              <w:end w:w="120" w:type="dxa"/>
            </w:tcMar>
            <w:vAlign w:val="top"/>
          </w:tcPr>
          <w:p>
            <w:pPr>
              <w:spacing w:after="0"/>
            </w:pPr>
            <w:r>
              <w:rPr>
                <w:rFonts w:ascii="Calibri" w:hAnsi="Calibri"/>
                <w:color w:val="141414"/>
              </w:rPr>
              <w:t>1</w:t>
            </w:r>
          </w:p>
        </w:tc>
        <w:tc>
          <w:tcPr>
            <w:tcW w:type="dxa" w:w="3460"/>
            <w:tcMar>
              <w:top w:w="80" w:type="dxa"/>
              <w:start w:w="120" w:type="dxa"/>
              <w:bottom w:w="80" w:type="dxa"/>
              <w:end w:w="120" w:type="dxa"/>
            </w:tcMar>
            <w:vAlign w:val="top"/>
          </w:tcPr>
          <w:p>
            <w:pPr>
              <w:spacing w:after="0"/>
            </w:pPr>
            <w:r>
              <w:rPr>
                <w:rFonts w:ascii="Calibri" w:hAnsi="Calibri"/>
                <w:color w:val="141414"/>
              </w:rPr>
              <w:t>0.116</w:t>
            </w:r>
          </w:p>
        </w:tc>
      </w:tr>
    </w:tbl>
    <w:p>
      <w:pPr>
        <w:spacing w:after="40"/>
      </w:pPr>
    </w:p>
    <w:p>
      <w:pPr>
        <w:spacing w:before="0" w:after="120" w:line="264" w:lineRule="auto"/>
      </w:pPr>
      <w:r>
        <w:rPr>
          <w:rFonts w:ascii="Calibri" w:hAnsi="Calibri"/>
          <w:color w:val="141414"/>
        </w:rPr>
        <w:t>The selected Neumann order is 2 with self-connections and 1 without self-connections. This suggests that the most relevant inhibitory contribution is local to short I-I chains rather than very deep inhibitory walks.</w:t>
      </w:r>
    </w:p>
    <w:p>
      <w:pPr>
        <w:spacing w:before="80" w:after="0"/>
        <w:jc w:val="center"/>
      </w:pPr>
      <w:r>
        <w:drawing>
          <wp:inline xmlns:a="http://schemas.openxmlformats.org/drawingml/2006/main" xmlns:pic="http://schemas.openxmlformats.org/drawingml/2006/picture">
            <wp:extent cx="5806440" cy="2849239"/>
            <wp:docPr id="4" name="Picture 4"/>
            <wp:cNvGraphicFramePr>
              <a:graphicFrameLocks noChangeAspect="1"/>
            </wp:cNvGraphicFramePr>
            <a:graphic>
              <a:graphicData uri="http://schemas.openxmlformats.org/drawingml/2006/picture">
                <pic:pic>
                  <pic:nvPicPr>
                    <pic:cNvPr id="0" name="neumann_ii_model_selection_by_variant.png"/>
                    <pic:cNvPicPr/>
                  </pic:nvPicPr>
                  <pic:blipFill>
                    <a:blip r:embed="rId14"/>
                    <a:stretch>
                      <a:fillRect/>
                    </a:stretch>
                  </pic:blipFill>
                  <pic:spPr>
                    <a:xfrm>
                      <a:off x="0" y="0"/>
                      <a:ext cx="5806440" cy="2849239"/>
                    </a:xfrm>
                    <a:prstGeom prst="rect"/>
                  </pic:spPr>
                </pic:pic>
              </a:graphicData>
            </a:graphic>
          </wp:inline>
        </w:drawing>
      </w:r>
    </w:p>
    <w:p>
      <w:pPr>
        <w:spacing w:before="60" w:after="180"/>
        <w:jc w:val="center"/>
      </w:pPr>
      <w:r>
        <w:rPr>
          <w:rFonts w:ascii="Calibri" w:hAnsi="Calibri"/>
          <w:i/>
          <w:color w:val="5A5A5A"/>
          <w:sz w:val="19"/>
        </w:rPr>
        <w:t>Figure 4. Neumann contribution by I-I chain order.</w:t>
      </w:r>
    </w:p>
    <w:p>
      <w:pPr>
        <w:pStyle w:val="Heading1"/>
        <w:spacing w:before="320" w:after="160"/>
      </w:pPr>
      <w:r>
        <w:rPr>
          <w:rFonts w:ascii="Calibri" w:hAnsi="Calibri"/>
          <w:b/>
          <w:color w:val="2E74B5"/>
          <w:sz w:val="32"/>
        </w:rPr>
        <w:t>Candidate Follow-Up Targets</w:t>
      </w:r>
    </w:p>
    <w:tbl>
      <w:tblPr>
        <w:tblStyle w:val="TableGrid"/>
        <w:tblW w:type="dxa" w:w="9360"/>
        <w:jc w:val="left"/>
        <w:tblLayout w:type="fixed"/>
        <w:tblLook w:firstColumn="1" w:firstRow="1" w:lastColumn="0" w:lastRow="0" w:noHBand="0" w:noVBand="1" w:val="04A0"/>
        <w:tblInd w:w="120" w:type="dxa"/>
      </w:tblPr>
      <w:tblGrid>
        <w:gridCol w:w="1200"/>
        <w:gridCol w:w="5400"/>
        <w:gridCol w:w="1360"/>
        <w:gridCol w:w="1400"/>
      </w:tblGrid>
      <w:tr>
        <w:tc>
          <w:tcPr>
            <w:tcW w:type="dxa" w:w="1200"/>
            <w:shd w:fill="F2F4F7"/>
            <w:tcMar>
              <w:top w:w="80" w:type="dxa"/>
              <w:start w:w="120" w:type="dxa"/>
              <w:bottom w:w="80" w:type="dxa"/>
              <w:end w:w="120" w:type="dxa"/>
            </w:tcMar>
            <w:vAlign w:val="top"/>
          </w:tcPr>
          <w:p>
            <w:pPr>
              <w:spacing w:after="0"/>
            </w:pPr>
            <w:r>
              <w:rPr>
                <w:rFonts w:ascii="Calibri" w:hAnsi="Calibri"/>
                <w:b/>
                <w:color w:val="141414"/>
              </w:rPr>
              <w:t>Variant</w:t>
            </w:r>
          </w:p>
        </w:tc>
        <w:tc>
          <w:tcPr>
            <w:tcW w:type="dxa" w:w="5400"/>
            <w:shd w:fill="F2F4F7"/>
            <w:tcMar>
              <w:top w:w="80" w:type="dxa"/>
              <w:start w:w="120" w:type="dxa"/>
              <w:bottom w:w="80" w:type="dxa"/>
              <w:end w:w="120" w:type="dxa"/>
            </w:tcMar>
            <w:vAlign w:val="top"/>
          </w:tcPr>
          <w:p>
            <w:pPr>
              <w:spacing w:after="0"/>
            </w:pPr>
            <w:r>
              <w:rPr>
                <w:rFonts w:ascii="Calibri" w:hAnsi="Calibri"/>
                <w:b/>
                <w:color w:val="141414"/>
              </w:rPr>
              <w:t>Candidate inhibitory cell class</w:t>
            </w:r>
          </w:p>
        </w:tc>
        <w:tc>
          <w:tcPr>
            <w:tcW w:type="dxa" w:w="1360"/>
            <w:shd w:fill="F2F4F7"/>
            <w:tcMar>
              <w:top w:w="80" w:type="dxa"/>
              <w:start w:w="120" w:type="dxa"/>
              <w:bottom w:w="80" w:type="dxa"/>
              <w:end w:w="120" w:type="dxa"/>
            </w:tcMar>
            <w:vAlign w:val="top"/>
          </w:tcPr>
          <w:p>
            <w:pPr>
              <w:spacing w:after="0"/>
            </w:pPr>
            <w:r>
              <w:rPr>
                <w:rFonts w:ascii="Calibri" w:hAnsi="Calibri"/>
                <w:b/>
                <w:color w:val="141414"/>
              </w:rPr>
              <w:t>Score</w:t>
            </w:r>
          </w:p>
        </w:tc>
        <w:tc>
          <w:tcPr>
            <w:tcW w:type="dxa" w:w="1400"/>
            <w:shd w:fill="F2F4F7"/>
            <w:tcMar>
              <w:top w:w="80" w:type="dxa"/>
              <w:start w:w="120" w:type="dxa"/>
              <w:bottom w:w="80" w:type="dxa"/>
              <w:end w:w="120" w:type="dxa"/>
            </w:tcMar>
            <w:vAlign w:val="top"/>
          </w:tcPr>
          <w:p>
            <w:pPr>
              <w:spacing w:after="0"/>
            </w:pPr>
            <w:r>
              <w:rPr>
                <w:rFonts w:ascii="Calibri" w:hAnsi="Calibri"/>
                <w:b/>
                <w:color w:val="141414"/>
              </w:rPr>
              <w:t>I-I order</w:t>
            </w:r>
          </w:p>
        </w:tc>
      </w:tr>
      <w:tr>
        <w:tc>
          <w:tcPr>
            <w:tcW w:type="dxa" w:w="1200"/>
            <w:tcMar>
              <w:top w:w="80" w:type="dxa"/>
              <w:start w:w="120" w:type="dxa"/>
              <w:bottom w:w="80" w:type="dxa"/>
              <w:end w:w="120" w:type="dxa"/>
            </w:tcMar>
            <w:vAlign w:val="top"/>
          </w:tcPr>
          <w:p>
            <w:pPr>
              <w:spacing w:after="0"/>
            </w:pPr>
            <w:r>
              <w:rPr>
                <w:rFonts w:ascii="Calibri" w:hAnsi="Calibri"/>
                <w:color w:val="141414"/>
              </w:rPr>
              <w:t>with_self</w:t>
            </w:r>
          </w:p>
        </w:tc>
        <w:tc>
          <w:tcPr>
            <w:tcW w:type="dxa" w:w="5400"/>
            <w:tcMar>
              <w:top w:w="80" w:type="dxa"/>
              <w:start w:w="120" w:type="dxa"/>
              <w:bottom w:w="80" w:type="dxa"/>
              <w:end w:w="120" w:type="dxa"/>
            </w:tcMar>
            <w:vAlign w:val="top"/>
          </w:tcPr>
          <w:p>
            <w:pPr>
              <w:spacing w:after="0"/>
            </w:pPr>
            <w:r>
              <w:rPr>
                <w:rFonts w:ascii="Calibri" w:hAnsi="Calibri"/>
                <w:color w:val="141414"/>
              </w:rPr>
              <w:t>CA1 Perforant Path Associated</w:t>
            </w:r>
          </w:p>
        </w:tc>
        <w:tc>
          <w:tcPr>
            <w:tcW w:type="dxa" w:w="1360"/>
            <w:tcMar>
              <w:top w:w="80" w:type="dxa"/>
              <w:start w:w="120" w:type="dxa"/>
              <w:bottom w:w="80" w:type="dxa"/>
              <w:end w:w="120" w:type="dxa"/>
            </w:tcMar>
            <w:vAlign w:val="top"/>
          </w:tcPr>
          <w:p>
            <w:pPr>
              <w:spacing w:after="0"/>
            </w:pPr>
            <w:r>
              <w:rPr>
                <w:rFonts w:ascii="Calibri" w:hAnsi="Calibri"/>
                <w:color w:val="141414"/>
              </w:rPr>
              <w:t>2.758</w:t>
            </w:r>
          </w:p>
        </w:tc>
        <w:tc>
          <w:tcPr>
            <w:tcW w:type="dxa" w:w="1400"/>
            <w:tcMar>
              <w:top w:w="80" w:type="dxa"/>
              <w:start w:w="120" w:type="dxa"/>
              <w:bottom w:w="80" w:type="dxa"/>
              <w:end w:w="120" w:type="dxa"/>
            </w:tcMar>
            <w:vAlign w:val="top"/>
          </w:tcPr>
          <w:p>
            <w:pPr>
              <w:spacing w:after="0"/>
            </w:pPr>
            <w:r>
              <w:rPr>
                <w:rFonts w:ascii="Calibri" w:hAnsi="Calibri"/>
                <w:color w:val="141414"/>
              </w:rPr>
              <w:t>2</w:t>
            </w:r>
          </w:p>
        </w:tc>
      </w:tr>
      <w:tr>
        <w:tc>
          <w:tcPr>
            <w:tcW w:type="dxa" w:w="1200"/>
            <w:tcMar>
              <w:top w:w="80" w:type="dxa"/>
              <w:start w:w="120" w:type="dxa"/>
              <w:bottom w:w="80" w:type="dxa"/>
              <w:end w:w="120" w:type="dxa"/>
            </w:tcMar>
            <w:vAlign w:val="top"/>
          </w:tcPr>
          <w:p>
            <w:pPr>
              <w:spacing w:after="0"/>
            </w:pPr>
            <w:r>
              <w:rPr>
                <w:rFonts w:ascii="Calibri" w:hAnsi="Calibri"/>
                <w:color w:val="141414"/>
              </w:rPr>
              <w:t>with_self</w:t>
            </w:r>
          </w:p>
        </w:tc>
        <w:tc>
          <w:tcPr>
            <w:tcW w:type="dxa" w:w="5400"/>
            <w:tcMar>
              <w:top w:w="80" w:type="dxa"/>
              <w:start w:w="120" w:type="dxa"/>
              <w:bottom w:w="80" w:type="dxa"/>
              <w:end w:w="120" w:type="dxa"/>
            </w:tcMar>
            <w:vAlign w:val="top"/>
          </w:tcPr>
          <w:p>
            <w:pPr>
              <w:spacing w:after="0"/>
            </w:pPr>
            <w:r>
              <w:rPr>
                <w:rFonts w:ascii="Calibri" w:hAnsi="Calibri"/>
                <w:color w:val="141414"/>
              </w:rPr>
              <w:t>MEC LIII Superficial Multipolar Interneuron</w:t>
            </w:r>
          </w:p>
        </w:tc>
        <w:tc>
          <w:tcPr>
            <w:tcW w:type="dxa" w:w="1360"/>
            <w:tcMar>
              <w:top w:w="80" w:type="dxa"/>
              <w:start w:w="120" w:type="dxa"/>
              <w:bottom w:w="80" w:type="dxa"/>
              <w:end w:w="120" w:type="dxa"/>
            </w:tcMar>
            <w:vAlign w:val="top"/>
          </w:tcPr>
          <w:p>
            <w:pPr>
              <w:spacing w:after="0"/>
            </w:pPr>
            <w:r>
              <w:rPr>
                <w:rFonts w:ascii="Calibri" w:hAnsi="Calibri"/>
                <w:color w:val="141414"/>
              </w:rPr>
              <w:t>1.542</w:t>
            </w:r>
          </w:p>
        </w:tc>
        <w:tc>
          <w:tcPr>
            <w:tcW w:type="dxa" w:w="1400"/>
            <w:tcMar>
              <w:top w:w="80" w:type="dxa"/>
              <w:start w:w="120" w:type="dxa"/>
              <w:bottom w:w="80" w:type="dxa"/>
              <w:end w:w="120" w:type="dxa"/>
            </w:tcMar>
            <w:vAlign w:val="top"/>
          </w:tcPr>
          <w:p>
            <w:pPr>
              <w:spacing w:after="0"/>
            </w:pPr>
            <w:r>
              <w:rPr>
                <w:rFonts w:ascii="Calibri" w:hAnsi="Calibri"/>
                <w:color w:val="141414"/>
              </w:rPr>
              <w:t>2</w:t>
            </w:r>
          </w:p>
        </w:tc>
      </w:tr>
      <w:tr>
        <w:tc>
          <w:tcPr>
            <w:tcW w:type="dxa" w:w="1200"/>
            <w:tcMar>
              <w:top w:w="80" w:type="dxa"/>
              <w:start w:w="120" w:type="dxa"/>
              <w:bottom w:w="80" w:type="dxa"/>
              <w:end w:w="120" w:type="dxa"/>
            </w:tcMar>
            <w:vAlign w:val="top"/>
          </w:tcPr>
          <w:p>
            <w:pPr>
              <w:spacing w:after="0"/>
            </w:pPr>
            <w:r>
              <w:rPr>
                <w:rFonts w:ascii="Calibri" w:hAnsi="Calibri"/>
                <w:color w:val="141414"/>
              </w:rPr>
              <w:t>with_self</w:t>
            </w:r>
          </w:p>
        </w:tc>
        <w:tc>
          <w:tcPr>
            <w:tcW w:type="dxa" w:w="5400"/>
            <w:tcMar>
              <w:top w:w="80" w:type="dxa"/>
              <w:start w:w="120" w:type="dxa"/>
              <w:bottom w:w="80" w:type="dxa"/>
              <w:end w:w="120" w:type="dxa"/>
            </w:tcMar>
            <w:vAlign w:val="top"/>
          </w:tcPr>
          <w:p>
            <w:pPr>
              <w:spacing w:after="0"/>
            </w:pPr>
            <w:r>
              <w:rPr>
                <w:rFonts w:ascii="Calibri" w:hAnsi="Calibri"/>
                <w:color w:val="141414"/>
              </w:rPr>
              <w:t>DG AIPRIM</w:t>
            </w:r>
          </w:p>
        </w:tc>
        <w:tc>
          <w:tcPr>
            <w:tcW w:type="dxa" w:w="1360"/>
            <w:tcMar>
              <w:top w:w="80" w:type="dxa"/>
              <w:start w:w="120" w:type="dxa"/>
              <w:bottom w:w="80" w:type="dxa"/>
              <w:end w:w="120" w:type="dxa"/>
            </w:tcMar>
            <w:vAlign w:val="top"/>
          </w:tcPr>
          <w:p>
            <w:pPr>
              <w:spacing w:after="0"/>
            </w:pPr>
            <w:r>
              <w:rPr>
                <w:rFonts w:ascii="Calibri" w:hAnsi="Calibri"/>
                <w:color w:val="141414"/>
              </w:rPr>
              <w:t>0.489</w:t>
            </w:r>
          </w:p>
        </w:tc>
        <w:tc>
          <w:tcPr>
            <w:tcW w:type="dxa" w:w="1400"/>
            <w:tcMar>
              <w:top w:w="80" w:type="dxa"/>
              <w:start w:w="120" w:type="dxa"/>
              <w:bottom w:w="80" w:type="dxa"/>
              <w:end w:w="120" w:type="dxa"/>
            </w:tcMar>
            <w:vAlign w:val="top"/>
          </w:tcPr>
          <w:p>
            <w:pPr>
              <w:spacing w:after="0"/>
            </w:pPr>
            <w:r>
              <w:rPr>
                <w:rFonts w:ascii="Calibri" w:hAnsi="Calibri"/>
                <w:color w:val="141414"/>
              </w:rPr>
              <w:t>2</w:t>
            </w:r>
          </w:p>
        </w:tc>
      </w:tr>
      <w:tr>
        <w:tc>
          <w:tcPr>
            <w:tcW w:type="dxa" w:w="1200"/>
            <w:tcMar>
              <w:top w:w="80" w:type="dxa"/>
              <w:start w:w="120" w:type="dxa"/>
              <w:bottom w:w="80" w:type="dxa"/>
              <w:end w:w="120" w:type="dxa"/>
            </w:tcMar>
            <w:vAlign w:val="top"/>
          </w:tcPr>
          <w:p>
            <w:pPr>
              <w:spacing w:after="0"/>
            </w:pPr>
            <w:r>
              <w:rPr>
                <w:rFonts w:ascii="Calibri" w:hAnsi="Calibri"/>
                <w:color w:val="141414"/>
              </w:rPr>
              <w:t>with_self</w:t>
            </w:r>
          </w:p>
        </w:tc>
        <w:tc>
          <w:tcPr>
            <w:tcW w:type="dxa" w:w="5400"/>
            <w:tcMar>
              <w:top w:w="80" w:type="dxa"/>
              <w:start w:w="120" w:type="dxa"/>
              <w:bottom w:w="80" w:type="dxa"/>
              <w:end w:w="120" w:type="dxa"/>
            </w:tcMar>
            <w:vAlign w:val="top"/>
          </w:tcPr>
          <w:p>
            <w:pPr>
              <w:spacing w:after="0"/>
            </w:pPr>
            <w:r>
              <w:rPr>
                <w:rFonts w:ascii="Calibri" w:hAnsi="Calibri"/>
                <w:color w:val="141414"/>
              </w:rPr>
              <w:t>CA1 Basket CCK+</w:t>
            </w:r>
          </w:p>
        </w:tc>
        <w:tc>
          <w:tcPr>
            <w:tcW w:type="dxa" w:w="1360"/>
            <w:tcMar>
              <w:top w:w="80" w:type="dxa"/>
              <w:start w:w="120" w:type="dxa"/>
              <w:bottom w:w="80" w:type="dxa"/>
              <w:end w:w="120" w:type="dxa"/>
            </w:tcMar>
            <w:vAlign w:val="top"/>
          </w:tcPr>
          <w:p>
            <w:pPr>
              <w:spacing w:after="0"/>
            </w:pPr>
            <w:r>
              <w:rPr>
                <w:rFonts w:ascii="Calibri" w:hAnsi="Calibri"/>
                <w:color w:val="141414"/>
              </w:rPr>
              <w:t>0.222</w:t>
            </w:r>
          </w:p>
        </w:tc>
        <w:tc>
          <w:tcPr>
            <w:tcW w:type="dxa" w:w="1400"/>
            <w:tcMar>
              <w:top w:w="80" w:type="dxa"/>
              <w:start w:w="120" w:type="dxa"/>
              <w:bottom w:w="80" w:type="dxa"/>
              <w:end w:w="120" w:type="dxa"/>
            </w:tcMar>
            <w:vAlign w:val="top"/>
          </w:tcPr>
          <w:p>
            <w:pPr>
              <w:spacing w:after="0"/>
            </w:pPr>
            <w:r>
              <w:rPr>
                <w:rFonts w:ascii="Calibri" w:hAnsi="Calibri"/>
                <w:color w:val="141414"/>
              </w:rPr>
              <w:t>2</w:t>
            </w:r>
          </w:p>
        </w:tc>
      </w:tr>
      <w:tr>
        <w:tc>
          <w:tcPr>
            <w:tcW w:type="dxa" w:w="1200"/>
            <w:tcMar>
              <w:top w:w="80" w:type="dxa"/>
              <w:start w:w="120" w:type="dxa"/>
              <w:bottom w:w="80" w:type="dxa"/>
              <w:end w:w="120" w:type="dxa"/>
            </w:tcMar>
            <w:vAlign w:val="top"/>
          </w:tcPr>
          <w:p>
            <w:pPr>
              <w:spacing w:after="0"/>
            </w:pPr>
            <w:r>
              <w:rPr>
                <w:rFonts w:ascii="Calibri" w:hAnsi="Calibri"/>
                <w:color w:val="141414"/>
              </w:rPr>
              <w:t>with_self</w:t>
            </w:r>
          </w:p>
        </w:tc>
        <w:tc>
          <w:tcPr>
            <w:tcW w:type="dxa" w:w="5400"/>
            <w:tcMar>
              <w:top w:w="80" w:type="dxa"/>
              <w:start w:w="120" w:type="dxa"/>
              <w:bottom w:w="80" w:type="dxa"/>
              <w:end w:w="120" w:type="dxa"/>
            </w:tcMar>
            <w:vAlign w:val="top"/>
          </w:tcPr>
          <w:p>
            <w:pPr>
              <w:spacing w:after="0"/>
            </w:pPr>
            <w:r>
              <w:rPr>
                <w:rFonts w:ascii="Calibri" w:hAnsi="Calibri"/>
                <w:color w:val="141414"/>
              </w:rPr>
              <w:t>CA1 Back Projection</w:t>
            </w:r>
          </w:p>
        </w:tc>
        <w:tc>
          <w:tcPr>
            <w:tcW w:type="dxa" w:w="1360"/>
            <w:tcMar>
              <w:top w:w="80" w:type="dxa"/>
              <w:start w:w="120" w:type="dxa"/>
              <w:bottom w:w="80" w:type="dxa"/>
              <w:end w:w="120" w:type="dxa"/>
            </w:tcMar>
            <w:vAlign w:val="top"/>
          </w:tcPr>
          <w:p>
            <w:pPr>
              <w:spacing w:after="0"/>
            </w:pPr>
            <w:r>
              <w:rPr>
                <w:rFonts w:ascii="Calibri" w:hAnsi="Calibri"/>
                <w:color w:val="141414"/>
              </w:rPr>
              <w:t>0.178</w:t>
            </w:r>
          </w:p>
        </w:tc>
        <w:tc>
          <w:tcPr>
            <w:tcW w:type="dxa" w:w="1400"/>
            <w:tcMar>
              <w:top w:w="80" w:type="dxa"/>
              <w:start w:w="120" w:type="dxa"/>
              <w:bottom w:w="80" w:type="dxa"/>
              <w:end w:w="120" w:type="dxa"/>
            </w:tcMar>
            <w:vAlign w:val="top"/>
          </w:tcPr>
          <w:p>
            <w:pPr>
              <w:spacing w:after="0"/>
            </w:pPr>
            <w:r>
              <w:rPr>
                <w:rFonts w:ascii="Calibri" w:hAnsi="Calibri"/>
                <w:color w:val="141414"/>
              </w:rPr>
              <w:t>2</w:t>
            </w:r>
          </w:p>
        </w:tc>
      </w:tr>
      <w:tr>
        <w:tc>
          <w:tcPr>
            <w:tcW w:type="dxa" w:w="1200"/>
            <w:tcMar>
              <w:top w:w="80" w:type="dxa"/>
              <w:start w:w="120" w:type="dxa"/>
              <w:bottom w:w="80" w:type="dxa"/>
              <w:end w:w="120" w:type="dxa"/>
            </w:tcMar>
            <w:vAlign w:val="top"/>
          </w:tcPr>
          <w:p>
            <w:pPr>
              <w:spacing w:after="0"/>
            </w:pPr>
            <w:r>
              <w:rPr>
                <w:rFonts w:ascii="Calibri" w:hAnsi="Calibri"/>
                <w:color w:val="141414"/>
              </w:rPr>
              <w:t>no_self</w:t>
            </w:r>
          </w:p>
        </w:tc>
        <w:tc>
          <w:tcPr>
            <w:tcW w:type="dxa" w:w="5400"/>
            <w:tcMar>
              <w:top w:w="80" w:type="dxa"/>
              <w:start w:w="120" w:type="dxa"/>
              <w:bottom w:w="80" w:type="dxa"/>
              <w:end w:w="120" w:type="dxa"/>
            </w:tcMar>
            <w:vAlign w:val="top"/>
          </w:tcPr>
          <w:p>
            <w:pPr>
              <w:spacing w:after="0"/>
            </w:pPr>
            <w:r>
              <w:rPr>
                <w:rFonts w:ascii="Calibri" w:hAnsi="Calibri"/>
                <w:color w:val="141414"/>
              </w:rPr>
              <w:t>CA1 Perforant Path Associated</w:t>
            </w:r>
          </w:p>
        </w:tc>
        <w:tc>
          <w:tcPr>
            <w:tcW w:type="dxa" w:w="1360"/>
            <w:tcMar>
              <w:top w:w="80" w:type="dxa"/>
              <w:start w:w="120" w:type="dxa"/>
              <w:bottom w:w="80" w:type="dxa"/>
              <w:end w:w="120" w:type="dxa"/>
            </w:tcMar>
            <w:vAlign w:val="top"/>
          </w:tcPr>
          <w:p>
            <w:pPr>
              <w:spacing w:after="0"/>
            </w:pPr>
            <w:r>
              <w:rPr>
                <w:rFonts w:ascii="Calibri" w:hAnsi="Calibri"/>
                <w:color w:val="141414"/>
              </w:rPr>
              <w:t>10.264</w:t>
            </w:r>
          </w:p>
        </w:tc>
        <w:tc>
          <w:tcPr>
            <w:tcW w:type="dxa" w:w="1400"/>
            <w:tcMar>
              <w:top w:w="80" w:type="dxa"/>
              <w:start w:w="120" w:type="dxa"/>
              <w:bottom w:w="80" w:type="dxa"/>
              <w:end w:w="120" w:type="dxa"/>
            </w:tcMar>
            <w:vAlign w:val="top"/>
          </w:tcPr>
          <w:p>
            <w:pPr>
              <w:spacing w:after="0"/>
            </w:pPr>
            <w:r>
              <w:rPr>
                <w:rFonts w:ascii="Calibri" w:hAnsi="Calibri"/>
                <w:color w:val="141414"/>
              </w:rPr>
              <w:t>1</w:t>
            </w:r>
          </w:p>
        </w:tc>
      </w:tr>
      <w:tr>
        <w:tc>
          <w:tcPr>
            <w:tcW w:type="dxa" w:w="1200"/>
            <w:tcMar>
              <w:top w:w="80" w:type="dxa"/>
              <w:start w:w="120" w:type="dxa"/>
              <w:bottom w:w="80" w:type="dxa"/>
              <w:end w:w="120" w:type="dxa"/>
            </w:tcMar>
            <w:vAlign w:val="top"/>
          </w:tcPr>
          <w:p>
            <w:pPr>
              <w:spacing w:after="0"/>
            </w:pPr>
            <w:r>
              <w:rPr>
                <w:rFonts w:ascii="Calibri" w:hAnsi="Calibri"/>
                <w:color w:val="141414"/>
              </w:rPr>
              <w:t>no_self</w:t>
            </w:r>
          </w:p>
        </w:tc>
        <w:tc>
          <w:tcPr>
            <w:tcW w:type="dxa" w:w="5400"/>
            <w:tcMar>
              <w:top w:w="80" w:type="dxa"/>
              <w:start w:w="120" w:type="dxa"/>
              <w:bottom w:w="80" w:type="dxa"/>
              <w:end w:w="120" w:type="dxa"/>
            </w:tcMar>
            <w:vAlign w:val="top"/>
          </w:tcPr>
          <w:p>
            <w:pPr>
              <w:spacing w:after="0"/>
            </w:pPr>
            <w:r>
              <w:rPr>
                <w:rFonts w:ascii="Calibri" w:hAnsi="Calibri"/>
                <w:color w:val="141414"/>
              </w:rPr>
              <w:t>MEC LIII Superficial Multipolar Interneuron</w:t>
            </w:r>
          </w:p>
        </w:tc>
        <w:tc>
          <w:tcPr>
            <w:tcW w:type="dxa" w:w="1360"/>
            <w:tcMar>
              <w:top w:w="80" w:type="dxa"/>
              <w:start w:w="120" w:type="dxa"/>
              <w:bottom w:w="80" w:type="dxa"/>
              <w:end w:w="120" w:type="dxa"/>
            </w:tcMar>
            <w:vAlign w:val="top"/>
          </w:tcPr>
          <w:p>
            <w:pPr>
              <w:spacing w:after="0"/>
            </w:pPr>
            <w:r>
              <w:rPr>
                <w:rFonts w:ascii="Calibri" w:hAnsi="Calibri"/>
                <w:color w:val="141414"/>
              </w:rPr>
              <w:t>5.142</w:t>
            </w:r>
          </w:p>
        </w:tc>
        <w:tc>
          <w:tcPr>
            <w:tcW w:type="dxa" w:w="1400"/>
            <w:tcMar>
              <w:top w:w="80" w:type="dxa"/>
              <w:start w:w="120" w:type="dxa"/>
              <w:bottom w:w="80" w:type="dxa"/>
              <w:end w:w="120" w:type="dxa"/>
            </w:tcMar>
            <w:vAlign w:val="top"/>
          </w:tcPr>
          <w:p>
            <w:pPr>
              <w:spacing w:after="0"/>
            </w:pPr>
            <w:r>
              <w:rPr>
                <w:rFonts w:ascii="Calibri" w:hAnsi="Calibri"/>
                <w:color w:val="141414"/>
              </w:rPr>
              <w:t>1</w:t>
            </w:r>
          </w:p>
        </w:tc>
      </w:tr>
      <w:tr>
        <w:tc>
          <w:tcPr>
            <w:tcW w:type="dxa" w:w="1200"/>
            <w:tcMar>
              <w:top w:w="80" w:type="dxa"/>
              <w:start w:w="120" w:type="dxa"/>
              <w:bottom w:w="80" w:type="dxa"/>
              <w:end w:w="120" w:type="dxa"/>
            </w:tcMar>
            <w:vAlign w:val="top"/>
          </w:tcPr>
          <w:p>
            <w:pPr>
              <w:spacing w:after="0"/>
            </w:pPr>
            <w:r>
              <w:rPr>
                <w:rFonts w:ascii="Calibri" w:hAnsi="Calibri"/>
                <w:color w:val="141414"/>
              </w:rPr>
              <w:t>no_self</w:t>
            </w:r>
          </w:p>
        </w:tc>
        <w:tc>
          <w:tcPr>
            <w:tcW w:type="dxa" w:w="5400"/>
            <w:tcMar>
              <w:top w:w="80" w:type="dxa"/>
              <w:start w:w="120" w:type="dxa"/>
              <w:bottom w:w="80" w:type="dxa"/>
              <w:end w:w="120" w:type="dxa"/>
            </w:tcMar>
            <w:vAlign w:val="top"/>
          </w:tcPr>
          <w:p>
            <w:pPr>
              <w:spacing w:after="0"/>
            </w:pPr>
            <w:r>
              <w:rPr>
                <w:rFonts w:ascii="Calibri" w:hAnsi="Calibri"/>
                <w:color w:val="141414"/>
              </w:rPr>
              <w:t>DG AIPRIM</w:t>
            </w:r>
          </w:p>
        </w:tc>
        <w:tc>
          <w:tcPr>
            <w:tcW w:type="dxa" w:w="1360"/>
            <w:tcMar>
              <w:top w:w="80" w:type="dxa"/>
              <w:start w:w="120" w:type="dxa"/>
              <w:bottom w:w="80" w:type="dxa"/>
              <w:end w:w="120" w:type="dxa"/>
            </w:tcMar>
            <w:vAlign w:val="top"/>
          </w:tcPr>
          <w:p>
            <w:pPr>
              <w:spacing w:after="0"/>
            </w:pPr>
            <w:r>
              <w:rPr>
                <w:rFonts w:ascii="Calibri" w:hAnsi="Calibri"/>
                <w:color w:val="141414"/>
              </w:rPr>
              <w:t>2.209</w:t>
            </w:r>
          </w:p>
        </w:tc>
        <w:tc>
          <w:tcPr>
            <w:tcW w:type="dxa" w:w="1400"/>
            <w:tcMar>
              <w:top w:w="80" w:type="dxa"/>
              <w:start w:w="120" w:type="dxa"/>
              <w:bottom w:w="80" w:type="dxa"/>
              <w:end w:w="120" w:type="dxa"/>
            </w:tcMar>
            <w:vAlign w:val="top"/>
          </w:tcPr>
          <w:p>
            <w:pPr>
              <w:spacing w:after="0"/>
            </w:pPr>
            <w:r>
              <w:rPr>
                <w:rFonts w:ascii="Calibri" w:hAnsi="Calibri"/>
                <w:color w:val="141414"/>
              </w:rPr>
              <w:t>1</w:t>
            </w:r>
          </w:p>
        </w:tc>
      </w:tr>
      <w:tr>
        <w:tc>
          <w:tcPr>
            <w:tcW w:type="dxa" w:w="1200"/>
            <w:tcMar>
              <w:top w:w="80" w:type="dxa"/>
              <w:start w:w="120" w:type="dxa"/>
              <w:bottom w:w="80" w:type="dxa"/>
              <w:end w:w="120" w:type="dxa"/>
            </w:tcMar>
            <w:vAlign w:val="top"/>
          </w:tcPr>
          <w:p>
            <w:pPr>
              <w:spacing w:after="0"/>
            </w:pPr>
            <w:r>
              <w:rPr>
                <w:rFonts w:ascii="Calibri" w:hAnsi="Calibri"/>
                <w:color w:val="141414"/>
              </w:rPr>
              <w:t>no_self</w:t>
            </w:r>
          </w:p>
        </w:tc>
        <w:tc>
          <w:tcPr>
            <w:tcW w:type="dxa" w:w="5400"/>
            <w:tcMar>
              <w:top w:w="80" w:type="dxa"/>
              <w:start w:w="120" w:type="dxa"/>
              <w:bottom w:w="80" w:type="dxa"/>
              <w:end w:w="120" w:type="dxa"/>
            </w:tcMar>
            <w:vAlign w:val="top"/>
          </w:tcPr>
          <w:p>
            <w:pPr>
              <w:spacing w:after="0"/>
            </w:pPr>
            <w:r>
              <w:rPr>
                <w:rFonts w:ascii="Calibri" w:hAnsi="Calibri"/>
                <w:color w:val="141414"/>
              </w:rPr>
              <w:t>CA1 Basket CCK+</w:t>
            </w:r>
          </w:p>
        </w:tc>
        <w:tc>
          <w:tcPr>
            <w:tcW w:type="dxa" w:w="1360"/>
            <w:tcMar>
              <w:top w:w="80" w:type="dxa"/>
              <w:start w:w="120" w:type="dxa"/>
              <w:bottom w:w="80" w:type="dxa"/>
              <w:end w:w="120" w:type="dxa"/>
            </w:tcMar>
            <w:vAlign w:val="top"/>
          </w:tcPr>
          <w:p>
            <w:pPr>
              <w:spacing w:after="0"/>
            </w:pPr>
            <w:r>
              <w:rPr>
                <w:rFonts w:ascii="Calibri" w:hAnsi="Calibri"/>
                <w:color w:val="141414"/>
              </w:rPr>
              <w:t>1.032</w:t>
            </w:r>
          </w:p>
        </w:tc>
        <w:tc>
          <w:tcPr>
            <w:tcW w:type="dxa" w:w="1400"/>
            <w:tcMar>
              <w:top w:w="80" w:type="dxa"/>
              <w:start w:w="120" w:type="dxa"/>
              <w:bottom w:w="80" w:type="dxa"/>
              <w:end w:w="120" w:type="dxa"/>
            </w:tcMar>
            <w:vAlign w:val="top"/>
          </w:tcPr>
          <w:p>
            <w:pPr>
              <w:spacing w:after="0"/>
            </w:pPr>
            <w:r>
              <w:rPr>
                <w:rFonts w:ascii="Calibri" w:hAnsi="Calibri"/>
                <w:color w:val="141414"/>
              </w:rPr>
              <w:t>1</w:t>
            </w:r>
          </w:p>
        </w:tc>
      </w:tr>
      <w:tr>
        <w:tc>
          <w:tcPr>
            <w:tcW w:type="dxa" w:w="1200"/>
            <w:tcMar>
              <w:top w:w="80" w:type="dxa"/>
              <w:start w:w="120" w:type="dxa"/>
              <w:bottom w:w="80" w:type="dxa"/>
              <w:end w:w="120" w:type="dxa"/>
            </w:tcMar>
            <w:vAlign w:val="top"/>
          </w:tcPr>
          <w:p>
            <w:pPr>
              <w:spacing w:after="0"/>
            </w:pPr>
            <w:r>
              <w:rPr>
                <w:rFonts w:ascii="Calibri" w:hAnsi="Calibri"/>
                <w:color w:val="141414"/>
              </w:rPr>
              <w:t>no_self</w:t>
            </w:r>
          </w:p>
        </w:tc>
        <w:tc>
          <w:tcPr>
            <w:tcW w:type="dxa" w:w="5400"/>
            <w:tcMar>
              <w:top w:w="80" w:type="dxa"/>
              <w:start w:w="120" w:type="dxa"/>
              <w:bottom w:w="80" w:type="dxa"/>
              <w:end w:w="120" w:type="dxa"/>
            </w:tcMar>
            <w:vAlign w:val="top"/>
          </w:tcPr>
          <w:p>
            <w:pPr>
              <w:spacing w:after="0"/>
            </w:pPr>
            <w:r>
              <w:rPr>
                <w:rFonts w:ascii="Calibri" w:hAnsi="Calibri"/>
                <w:color w:val="141414"/>
              </w:rPr>
              <w:t>CA1 Back Projection</w:t>
            </w:r>
          </w:p>
        </w:tc>
        <w:tc>
          <w:tcPr>
            <w:tcW w:type="dxa" w:w="1360"/>
            <w:tcMar>
              <w:top w:w="80" w:type="dxa"/>
              <w:start w:w="120" w:type="dxa"/>
              <w:bottom w:w="80" w:type="dxa"/>
              <w:end w:w="120" w:type="dxa"/>
            </w:tcMar>
            <w:vAlign w:val="top"/>
          </w:tcPr>
          <w:p>
            <w:pPr>
              <w:spacing w:after="0"/>
            </w:pPr>
            <w:r>
              <w:rPr>
                <w:rFonts w:ascii="Calibri" w:hAnsi="Calibri"/>
                <w:color w:val="141414"/>
              </w:rPr>
              <w:t>0.860</w:t>
            </w:r>
          </w:p>
        </w:tc>
        <w:tc>
          <w:tcPr>
            <w:tcW w:type="dxa" w:w="1400"/>
            <w:tcMar>
              <w:top w:w="80" w:type="dxa"/>
              <w:start w:w="120" w:type="dxa"/>
              <w:bottom w:w="80" w:type="dxa"/>
              <w:end w:w="120" w:type="dxa"/>
            </w:tcMar>
            <w:vAlign w:val="top"/>
          </w:tcPr>
          <w:p>
            <w:pPr>
              <w:spacing w:after="0"/>
            </w:pPr>
            <w:r>
              <w:rPr>
                <w:rFonts w:ascii="Calibri" w:hAnsi="Calibri"/>
                <w:color w:val="141414"/>
              </w:rPr>
              <w:t>1</w:t>
            </w:r>
          </w:p>
        </w:tc>
      </w:tr>
    </w:tbl>
    <w:p>
      <w:pPr>
        <w:spacing w:after="40"/>
      </w:pPr>
    </w:p>
    <w:p>
      <w:pPr>
        <w:spacing w:before="0" w:after="120" w:line="264" w:lineRule="auto"/>
      </w:pPr>
      <w:r>
        <w:rPr>
          <w:rFonts w:ascii="Calibri" w:hAnsi="Calibri"/>
          <w:color w:val="141414"/>
        </w:rPr>
        <w:t>These rankings should be treated as hypotheses, not final biological claims. They combine I-to-E strength, E-to-I recruitment, and participation in the selected I-I chain order. The next advisor-facing step would be to inspect whether the top-ranked cell classes are anatomically plausible relays in the hippocampal circuit.</w:t>
      </w:r>
    </w:p>
    <w:p>
      <w:pPr>
        <w:spacing w:before="80" w:after="0"/>
        <w:jc w:val="center"/>
      </w:pPr>
      <w:r>
        <w:drawing>
          <wp:inline xmlns:a="http://schemas.openxmlformats.org/drawingml/2006/main" xmlns:pic="http://schemas.openxmlformats.org/drawingml/2006/picture">
            <wp:extent cx="5806440" cy="3445070"/>
            <wp:docPr id="5" name="Picture 5"/>
            <wp:cNvGraphicFramePr>
              <a:graphicFrameLocks noChangeAspect="1"/>
            </wp:cNvGraphicFramePr>
            <a:graphic>
              <a:graphicData uri="http://schemas.openxmlformats.org/drawingml/2006/picture">
                <pic:pic>
                  <pic:nvPicPr>
                    <pic:cNvPr id="0" name="top_disinhibitory_sources_by_variant.png"/>
                    <pic:cNvPicPr/>
                  </pic:nvPicPr>
                  <pic:blipFill>
                    <a:blip r:embed="rId15"/>
                    <a:stretch>
                      <a:fillRect/>
                    </a:stretch>
                  </pic:blipFill>
                  <pic:spPr>
                    <a:xfrm>
                      <a:off x="0" y="0"/>
                      <a:ext cx="5806440" cy="3445070"/>
                    </a:xfrm>
                    <a:prstGeom prst="rect"/>
                  </pic:spPr>
                </pic:pic>
              </a:graphicData>
            </a:graphic>
          </wp:inline>
        </w:drawing>
      </w:r>
    </w:p>
    <w:p>
      <w:pPr>
        <w:spacing w:before="60" w:after="180"/>
        <w:jc w:val="center"/>
      </w:pPr>
      <w:r>
        <w:rPr>
          <w:rFonts w:ascii="Calibri" w:hAnsi="Calibri"/>
          <w:i/>
          <w:color w:val="5A5A5A"/>
          <w:sz w:val="19"/>
        </w:rPr>
        <w:t>Figure 5. Highest-ranked candidate inhibitory sources by variant.</w:t>
      </w:r>
    </w:p>
    <w:p>
      <w:pPr>
        <w:pStyle w:val="Heading1"/>
        <w:spacing w:before="320" w:after="160"/>
      </w:pPr>
      <w:r>
        <w:rPr>
          <w:rFonts w:ascii="Calibri" w:hAnsi="Calibri"/>
          <w:b/>
          <w:color w:val="2E74B5"/>
          <w:sz w:val="32"/>
        </w:rPr>
        <w:t>Limitations</w:t>
      </w:r>
    </w:p>
    <w:p>
      <w:pPr>
        <w:pStyle w:val="ListBullet"/>
        <w:spacing w:after="120" w:line="280" w:lineRule="auto"/>
      </w:pPr>
      <w:r>
        <w:rPr>
          <w:rFonts w:ascii="Calibri" w:hAnsi="Calibri"/>
          <w:color w:val="141414"/>
        </w:rPr>
        <w:t>The analysis is linear and static; it does not yet include spiking nonlinearities, synaptic delays, saturation, or time-varying state dependence.</w:t>
      </w:r>
    </w:p>
    <w:p>
      <w:pPr>
        <w:pStyle w:val="ListBullet"/>
        <w:spacing w:after="120" w:line="280" w:lineRule="auto"/>
      </w:pPr>
      <w:r>
        <w:rPr>
          <w:rFonts w:ascii="Calibri" w:hAnsi="Calibri"/>
          <w:color w:val="141414"/>
        </w:rPr>
        <w:t>The shuffled null preserves the nonzero support and global weight distribution but does not preserve every biological constraint, such as region-level connection rules.</w:t>
      </w:r>
    </w:p>
    <w:p>
      <w:pPr>
        <w:pStyle w:val="ListBullet"/>
        <w:spacing w:after="120" w:line="280" w:lineRule="auto"/>
      </w:pPr>
      <w:r>
        <w:rPr>
          <w:rFonts w:ascii="Calibri" w:hAnsi="Calibri"/>
          <w:color w:val="141414"/>
        </w:rPr>
        <w:t>Current path products are useful for ranking candidate motifs, but they should be checked against anatomical directionality and biological plausibility.</w:t>
      </w:r>
    </w:p>
    <w:p>
      <w:pPr>
        <w:pStyle w:val="ListBullet"/>
        <w:spacing w:after="120" w:line="280" w:lineRule="auto"/>
      </w:pPr>
      <w:r>
        <w:rPr>
          <w:rFonts w:ascii="Calibri" w:hAnsi="Calibri"/>
          <w:color w:val="141414"/>
        </w:rPr>
        <w:t>Normalization enables comparison across variants, but absolute scale should not be interpreted as an uncalibrated physiological gain.</w:t>
      </w:r>
    </w:p>
    <w:p>
      <w:pPr>
        <w:pStyle w:val="Heading1"/>
        <w:spacing w:before="320" w:after="160"/>
      </w:pPr>
      <w:r>
        <w:rPr>
          <w:rFonts w:ascii="Calibri" w:hAnsi="Calibri"/>
          <w:b/>
          <w:color w:val="2E74B5"/>
          <w:sz w:val="32"/>
        </w:rPr>
        <w:t>Recommended Next Steps</w:t>
      </w:r>
    </w:p>
    <w:p>
      <w:pPr>
        <w:pStyle w:val="ListBullet"/>
        <w:spacing w:after="120" w:line="280" w:lineRule="auto"/>
      </w:pPr>
      <w:r>
        <w:rPr>
          <w:rFonts w:ascii="Calibri" w:hAnsi="Calibri"/>
          <w:color w:val="141414"/>
        </w:rPr>
        <w:t>Validate the top disinhibitory cell classes with region-level metadata and known hippocampal pathway constraints.</w:t>
      </w:r>
    </w:p>
    <w:p>
      <w:pPr>
        <w:pStyle w:val="ListBullet"/>
        <w:spacing w:after="120" w:line="280" w:lineRule="auto"/>
      </w:pPr>
      <w:r>
        <w:rPr>
          <w:rFonts w:ascii="Calibri" w:hAnsi="Calibri"/>
          <w:color w:val="141414"/>
        </w:rPr>
        <w:t>Repeat the null model with stricter constraints, such as preserving source/receiver E-I block membership or degree/strength by cell class.</w:t>
      </w:r>
    </w:p>
    <w:p>
      <w:pPr>
        <w:pStyle w:val="ListBullet"/>
        <w:spacing w:after="120" w:line="280" w:lineRule="auto"/>
      </w:pPr>
      <w:r>
        <w:rPr>
          <w:rFonts w:ascii="Calibri" w:hAnsi="Calibri"/>
          <w:color w:val="141414"/>
        </w:rPr>
        <w:t>Use perturbation sensitivity on individual high-ranking cell classes, not only broad blocks and motif edge sets.</w:t>
      </w:r>
    </w:p>
    <w:p>
      <w:pPr>
        <w:pStyle w:val="ListBullet"/>
        <w:spacing w:after="120" w:line="280" w:lineRule="auto"/>
      </w:pPr>
      <w:r>
        <w:rPr>
          <w:rFonts w:ascii="Calibri" w:hAnsi="Calibri"/>
          <w:color w:val="141414"/>
        </w:rPr>
        <w:t>Compare the Schur-derived effective E matrix with simulation-based responses from a nonlinear or spiking network model.</w:t>
      </w:r>
    </w:p>
    <w:p>
      <w:pPr>
        <w:pStyle w:val="ListBullet"/>
        <w:spacing w:after="120" w:line="280" w:lineRule="auto"/>
      </w:pPr>
      <w:r>
        <w:rPr>
          <w:rFonts w:ascii="Calibri" w:hAnsi="Calibri"/>
          <w:color w:val="141414"/>
        </w:rPr>
        <w:t>Prepare a short figure panel for advisor discussion: block-removal effect, Schur summary, motif enrichment/stability, and top disinhibitory sources.</w:t>
      </w:r>
    </w:p>
    <w:p>
      <w:pPr>
        <w:pStyle w:val="Heading1"/>
        <w:spacing w:before="320" w:after="160"/>
      </w:pPr>
      <w:r>
        <w:rPr>
          <w:rFonts w:ascii="Calibri" w:hAnsi="Calibri"/>
          <w:b/>
          <w:color w:val="2E74B5"/>
          <w:sz w:val="32"/>
        </w:rPr>
        <w:t>Source Files Used</w:t>
      </w:r>
    </w:p>
    <w:p>
      <w:pPr>
        <w:pStyle w:val="ListBullet"/>
        <w:spacing w:after="120" w:line="280" w:lineRule="auto"/>
      </w:pPr>
      <w:r>
        <w:rPr>
          <w:rFonts w:ascii="Calibri" w:hAnsi="Calibri"/>
          <w:color w:val="141414"/>
        </w:rPr>
        <w:t>inhibitory_schur_modulation.ipynb: narrative notebook and saved analysis sections.</w:t>
      </w:r>
    </w:p>
    <w:p>
      <w:pPr>
        <w:pStyle w:val="ListBullet"/>
        <w:spacing w:after="120" w:line="280" w:lineRule="auto"/>
      </w:pPr>
      <w:r>
        <w:rPr>
          <w:rFonts w:ascii="Calibri" w:hAnsi="Calibri"/>
          <w:color w:val="141414"/>
        </w:rPr>
        <w:t>inhibitory_schur_modulation_script.py: reusable Python implementation of the methods.</w:t>
      </w:r>
    </w:p>
    <w:p>
      <w:pPr>
        <w:pStyle w:val="ListBullet"/>
        <w:spacing w:after="120" w:line="280" w:lineRule="auto"/>
      </w:pPr>
      <w:r>
        <w:rPr>
          <w:rFonts w:ascii="Calibri" w:hAnsi="Calibri"/>
          <w:color w:val="141414"/>
        </w:rPr>
        <w:t>matrices/mij_matrix.csv and matrices/mij_netlist.csv: connectivity weights and E/I metadata.</w:t>
      </w:r>
    </w:p>
    <w:p>
      <w:pPr>
        <w:pStyle w:val="ListBullet"/>
        <w:spacing w:after="120" w:line="280" w:lineRule="auto"/>
      </w:pPr>
      <w:r>
        <w:rPr>
          <w:rFonts w:ascii="Calibri" w:hAnsi="Calibri"/>
          <w:color w:val="141414"/>
        </w:rPr>
        <w:t>outputs/inhibitory_schur_modulation: generated tables and figures included in this brief.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5A5A"/>
        <w:sz w:val="18"/>
      </w:rPr>
      <w:t>Advisor brief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A5A5A"/>
        <w:sz w:val="18"/>
      </w:rPr>
      <w:t>Inhibitory Schur Modulation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