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SCHUR_DECOMP PROJECT BRIEF</w:t>
      </w:r>
    </w:p>
    <w:p>
      <w:pPr>
        <w:spacing w:after="320"/>
      </w:pPr>
      <w:r>
        <w:rPr>
          <w:rFonts w:ascii="Calibri" w:hAnsi="Calibri"/>
          <w:color w:val="373737"/>
          <w:sz w:val="28"/>
        </w:rPr>
        <w:t>Methods, rationale, current outputs, and advisor discussion points</w:t>
      </w:r>
    </w:p>
    <w:p>
      <w:pPr>
        <w:spacing w:after="40"/>
      </w:pPr>
      <w:r>
        <w:rPr>
          <w:rFonts w:ascii="Calibri" w:hAnsi="Calibri"/>
          <w:b/>
        </w:rPr>
        <w:t xml:space="preserve">Project: </w:t>
      </w:r>
      <w:r>
        <w:rPr>
          <w:rFonts w:ascii="Calibri" w:hAnsi="Calibri"/>
        </w:rPr>
        <w:t>schur_decomp</w:t>
      </w:r>
    </w:p>
    <w:p>
      <w:pPr>
        <w:spacing w:after="40"/>
      </w:pPr>
      <w:r>
        <w:rPr>
          <w:rFonts w:ascii="Calibri" w:hAnsi="Calibri"/>
          <w:b/>
        </w:rPr>
        <w:t xml:space="preserve">Prepared for: </w:t>
      </w:r>
      <w:r>
        <w:rPr>
          <w:rFonts w:ascii="Calibri" w:hAnsi="Calibri"/>
        </w:rPr>
        <w:t>Advisor review</w:t>
      </w:r>
    </w:p>
    <w:p>
      <w:pPr>
        <w:spacing w:after="40"/>
      </w:pPr>
      <w:r>
        <w:rPr>
          <w:rFonts w:ascii="Calibri" w:hAnsi="Calibri"/>
          <w:b/>
        </w:rPr>
        <w:t xml:space="preserve">Prepared by: </w:t>
      </w:r>
      <w:r>
        <w:rPr>
          <w:rFonts w:ascii="Calibri" w:hAnsi="Calibri"/>
        </w:rPr>
        <w:t>[Name]</w:t>
      </w:r>
    </w:p>
    <w:p>
      <w:pPr>
        <w:spacing w:after="40"/>
      </w:pPr>
      <w:r>
        <w:rPr>
          <w:rFonts w:ascii="Calibri" w:hAnsi="Calibri"/>
          <w:b/>
        </w:rPr>
        <w:t xml:space="preserve">Date: </w:t>
      </w:r>
      <w:r>
        <w:rPr>
          <w:rFonts w:ascii="Calibri" w:hAnsi="Calibri"/>
        </w:rPr>
        <w:t>August 24, 2026</w:t>
      </w:r>
    </w:p>
    <w:p>
      <w:pPr>
        <w:spacing w:after="40"/>
      </w:pPr>
      <w:r>
        <w:rPr>
          <w:rFonts w:ascii="Calibri" w:hAnsi="Calibri"/>
          <w:b/>
        </w:rPr>
        <w:t xml:space="preserve">Primary matrix: </w:t>
      </w:r>
      <w:r>
        <w:rPr>
          <w:rFonts w:ascii="Calibri" w:hAnsi="Calibri"/>
        </w:rPr>
        <w:t>matrices/mij_matrix.csv</w:t>
      </w:r>
    </w:p>
    <w:p>
      <w:pPr>
        <w:spacing w:after="40"/>
      </w:pPr>
      <w:r>
        <w:rPr>
          <w:rFonts w:ascii="Calibri" w:hAnsi="Calibri"/>
          <w:b/>
        </w:rPr>
        <w:t xml:space="preserve">Primary outputs: </w:t>
      </w:r>
      <w:r>
        <w:rPr>
          <w:rFonts w:ascii="Calibri" w:hAnsi="Calibri"/>
        </w:rPr>
        <w:t>outputs/schur_modes, outputs/schur_mode_greedy_trees, outputs/network_linear_systems, outputs/inhibitory_schur_modulation</w:t>
      </w:r>
    </w:p>
    <w:p>
      <w:pPr>
        <w:pStyle w:val="Heading1"/>
        <w:spacing w:before="320" w:after="160"/>
      </w:pPr>
      <w:r>
        <w:rPr>
          <w:rFonts w:ascii="Calibri" w:hAnsi="Calibri"/>
          <w:b/>
          <w:color w:val="2E74B5"/>
          <w:sz w:val="32"/>
        </w:rPr>
        <w:t>Executive Summary</w:t>
      </w:r>
    </w:p>
    <w:p>
      <w:pPr>
        <w:spacing w:before="0" w:after="120" w:line="264" w:lineRule="auto"/>
      </w:pPr>
      <w:r>
        <w:rPr>
          <w:rFonts w:ascii="Calibri" w:hAnsi="Calibri"/>
          <w:color w:val="141414"/>
        </w:rPr>
        <w:t>The schur_decomp project analyzes a signed, directed hippocampal-entorhinal connectivity matrix as a linear dynamical system. Its central purpose is to move from a dense source-to-receiver connectivity table to interpretable modes, propagation routes, and candidate circuit mechanisms.</w:t>
      </w:r>
    </w:p>
    <w:p>
      <w:pPr>
        <w:spacing w:before="0" w:after="120" w:line="264" w:lineRule="auto"/>
      </w:pPr>
      <w:r>
        <w:rPr>
          <w:rFonts w:ascii="Calibri" w:hAnsi="Calibri"/>
          <w:color w:val="141414"/>
        </w:rPr>
        <w:t>The project uses Schur decomposition because Schur vectors provide an orthonormal, numerically stable modal basis while the upper-triangular Schur matrix preserves directional coupling between modes. This makes it possible to study both what the dominant activity patterns are and how upstream modes drive downstream modes.</w:t>
      </w:r>
    </w:p>
    <w:p>
      <w:pPr>
        <w:pStyle w:val="ListBullet"/>
        <w:spacing w:after="160" w:line="280" w:lineRule="auto"/>
      </w:pPr>
      <w:r>
        <w:rPr>
          <w:rFonts w:ascii="Calibri" w:hAnsi="Calibri"/>
          <w:color w:val="141414"/>
        </w:rPr>
        <w:t>The primary matrix contains 85 cell classes, 1,641 nonzero directed entries, and 22.7% density.</w:t>
      </w:r>
    </w:p>
    <w:p>
      <w:pPr>
        <w:pStyle w:val="ListBullet"/>
        <w:spacing w:after="160" w:line="280" w:lineRule="auto"/>
      </w:pPr>
      <w:r>
        <w:rPr>
          <w:rFonts w:ascii="Calibri" w:hAnsi="Calibri"/>
          <w:color w:val="141414"/>
        </w:rPr>
        <w:t>The netlist labels 32 excitatory and 53 inhibitory cell classes across regions including CA1, CA3, DG, MEC, EC, CA2, LEC, and SUB.</w:t>
      </w:r>
    </w:p>
    <w:p>
      <w:pPr>
        <w:pStyle w:val="ListBullet"/>
        <w:spacing w:after="160" w:line="280" w:lineRule="auto"/>
      </w:pPr>
      <w:r>
        <w:rPr>
          <w:rFonts w:ascii="Calibri" w:hAnsi="Calibri"/>
          <w:color w:val="141414"/>
        </w:rPr>
        <w:t>Major analysis branches include Schur/eigenmode characterization, signal propagation, self-connection comparison, greedy subnetwork reconstruction, linear systems metrics, and inhibitory Schur-complement modulation.</w:t>
      </w:r>
    </w:p>
    <w:p>
      <w:pPr>
        <w:spacing w:before="80" w:after="0"/>
        <w:jc w:val="center"/>
      </w:pPr>
      <w:r>
        <w:drawing>
          <wp:inline xmlns:a="http://schemas.openxmlformats.org/drawingml/2006/main" xmlns:pic="http://schemas.openxmlformats.org/drawingml/2006/picture">
            <wp:extent cx="5806440" cy="1682548"/>
            <wp:docPr id="1" name="Picture 1"/>
            <wp:cNvGraphicFramePr>
              <a:graphicFrameLocks noChangeAspect="1"/>
            </wp:cNvGraphicFramePr>
            <a:graphic>
              <a:graphicData uri="http://schemas.openxmlformats.org/drawingml/2006/picture">
                <pic:pic>
                  <pic:nvPicPr>
                    <pic:cNvPr id="0" name="schur_decomp_workflow.png"/>
                    <pic:cNvPicPr/>
                  </pic:nvPicPr>
                  <pic:blipFill>
                    <a:blip r:embed="rId11"/>
                    <a:stretch>
                      <a:fillRect/>
                    </a:stretch>
                  </pic:blipFill>
                  <pic:spPr>
                    <a:xfrm>
                      <a:off x="0" y="0"/>
                      <a:ext cx="5806440" cy="1682548"/>
                    </a:xfrm>
                    <a:prstGeom prst="rect"/>
                  </pic:spPr>
                </pic:pic>
              </a:graphicData>
            </a:graphic>
          </wp:inline>
        </w:drawing>
      </w:r>
    </w:p>
    <w:p>
      <w:pPr>
        <w:spacing w:before="60" w:after="180"/>
        <w:jc w:val="center"/>
      </w:pPr>
      <w:r>
        <w:rPr>
          <w:rFonts w:ascii="Calibri" w:hAnsi="Calibri"/>
          <w:i/>
          <w:color w:val="585858"/>
          <w:sz w:val="19"/>
        </w:rPr>
        <w:t>Figure 1. High-level workflow used throughout the schur_decomp project.</w:t>
      </w:r>
    </w:p>
    <w:p>
      <w:pPr>
        <w:pStyle w:val="Heading1"/>
        <w:spacing w:before="320" w:after="160"/>
      </w:pPr>
      <w:r>
        <w:rPr>
          <w:rFonts w:ascii="Calibri" w:hAnsi="Calibri"/>
          <w:b/>
          <w:color w:val="2E74B5"/>
          <w:sz w:val="32"/>
        </w:rPr>
        <w:t>Project Structure</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tcMar>
              <w:top w:w="80" w:type="dxa"/>
              <w:start w:w="120" w:type="dxa"/>
              <w:bottom w:w="80" w:type="dxa"/>
              <w:end w:w="120" w:type="dxa"/>
            </w:tcMar>
            <w:vAlign w:val="top"/>
          </w:tcPr>
          <w:p>
            <w:pPr>
              <w:spacing w:after="0"/>
            </w:pPr>
            <w:r>
              <w:rPr>
                <w:rFonts w:ascii="Calibri" w:hAnsi="Calibri"/>
                <w:b/>
                <w:color w:val="141414"/>
              </w:rPr>
              <w:t>File or module</w:t>
            </w:r>
          </w:p>
        </w:tc>
        <w:tc>
          <w:tcPr>
            <w:tcW w:type="dxa" w:w="6860"/>
            <w:shd w:fill="F2F4F7"/>
            <w:tcMar>
              <w:top w:w="80" w:type="dxa"/>
              <w:start w:w="120" w:type="dxa"/>
              <w:bottom w:w="80" w:type="dxa"/>
              <w:end w:w="120" w:type="dxa"/>
            </w:tcMar>
            <w:vAlign w:val="top"/>
          </w:tcPr>
          <w:p>
            <w:pPr>
              <w:spacing w:after="0"/>
            </w:pPr>
            <w:r>
              <w:rPr>
                <w:rFonts w:ascii="Calibri" w:hAnsi="Calibri"/>
                <w:b/>
                <w:color w:val="141414"/>
              </w:rPr>
              <w:t>Role in the project</w:t>
            </w:r>
          </w:p>
        </w:tc>
      </w:tr>
      <w:tr>
        <w:tc>
          <w:tcPr>
            <w:tcW w:type="dxa" w:w="2500"/>
            <w:tcMar>
              <w:top w:w="80" w:type="dxa"/>
              <w:start w:w="120" w:type="dxa"/>
              <w:bottom w:w="80" w:type="dxa"/>
              <w:end w:w="120" w:type="dxa"/>
            </w:tcMar>
            <w:vAlign w:val="top"/>
          </w:tcPr>
          <w:p>
            <w:pPr>
              <w:spacing w:after="0"/>
            </w:pPr>
            <w:r>
              <w:rPr>
                <w:rFonts w:ascii="Calibri" w:hAnsi="Calibri"/>
                <w:color w:val="141414"/>
              </w:rPr>
              <w:t>schur_analysis_utils_script.py</w:t>
            </w:r>
          </w:p>
        </w:tc>
        <w:tc>
          <w:tcPr>
            <w:tcW w:type="dxa" w:w="6860"/>
            <w:tcMar>
              <w:top w:w="80" w:type="dxa"/>
              <w:start w:w="120" w:type="dxa"/>
              <w:bottom w:w="80" w:type="dxa"/>
              <w:end w:w="120" w:type="dxa"/>
            </w:tcMar>
            <w:vAlign w:val="top"/>
          </w:tcPr>
          <w:p>
            <w:pPr>
              <w:spacing w:after="0"/>
            </w:pPr>
            <w:r>
              <w:rPr>
                <w:rFonts w:ascii="Calibri" w:hAnsi="Calibri"/>
                <w:color w:val="141414"/>
              </w:rPr>
              <w:t>Core Schur/eigenmode utilities: matrix loading, normalization, Schur decomposition, mode summaries, E/I routing ratios, spectra, heatmaps, dominant-mode comparisons, and validation checks.</w:t>
            </w:r>
          </w:p>
        </w:tc>
      </w:tr>
      <w:tr>
        <w:tc>
          <w:tcPr>
            <w:tcW w:type="dxa" w:w="2500"/>
            <w:tcMar>
              <w:top w:w="80" w:type="dxa"/>
              <w:start w:w="120" w:type="dxa"/>
              <w:bottom w:w="80" w:type="dxa"/>
              <w:end w:w="120" w:type="dxa"/>
            </w:tcMar>
            <w:vAlign w:val="top"/>
          </w:tcPr>
          <w:p>
            <w:pPr>
              <w:spacing w:after="0"/>
            </w:pPr>
            <w:r>
              <w:rPr>
                <w:rFonts w:ascii="Calibri" w:hAnsi="Calibri"/>
                <w:color w:val="141414"/>
              </w:rPr>
              <w:t>schur_signal_propagation_script.py</w:t>
            </w:r>
          </w:p>
        </w:tc>
        <w:tc>
          <w:tcPr>
            <w:tcW w:type="dxa" w:w="6860"/>
            <w:tcMar>
              <w:top w:w="80" w:type="dxa"/>
              <w:start w:w="120" w:type="dxa"/>
              <w:bottom w:w="80" w:type="dxa"/>
              <w:end w:w="120" w:type="dxa"/>
            </w:tcMar>
            <w:vAlign w:val="top"/>
          </w:tcPr>
          <w:p>
            <w:pPr>
              <w:spacing w:after="0"/>
            </w:pPr>
            <w:r>
              <w:rPr>
                <w:rFonts w:ascii="Calibri" w:hAnsi="Calibri"/>
                <w:color w:val="141414"/>
              </w:rPr>
              <w:t>Prepares a Schur propagation model, creates initial activity signals, propagates cell-type and Schur-mode activations, summarizes mode and region loadings, and saves reusable Schur-mode outputs.</w:t>
            </w:r>
          </w:p>
        </w:tc>
      </w:tr>
      <w:tr>
        <w:tc>
          <w:tcPr>
            <w:tcW w:type="dxa" w:w="2500"/>
            <w:tcMar>
              <w:top w:w="80" w:type="dxa"/>
              <w:start w:w="120" w:type="dxa"/>
              <w:bottom w:w="80" w:type="dxa"/>
              <w:end w:w="120" w:type="dxa"/>
            </w:tcMar>
            <w:vAlign w:val="top"/>
          </w:tcPr>
          <w:p>
            <w:pPr>
              <w:spacing w:after="0"/>
            </w:pPr>
            <w:r>
              <w:rPr>
                <w:rFonts w:ascii="Calibri" w:hAnsi="Calibri"/>
                <w:color w:val="141414"/>
              </w:rPr>
              <w:t>schur_mode_greedy_trees_script.py</w:t>
            </w:r>
          </w:p>
        </w:tc>
        <w:tc>
          <w:tcPr>
            <w:tcW w:type="dxa" w:w="6860"/>
            <w:tcMar>
              <w:top w:w="80" w:type="dxa"/>
              <w:start w:w="120" w:type="dxa"/>
              <w:bottom w:w="80" w:type="dxa"/>
              <w:end w:w="120" w:type="dxa"/>
            </w:tcMar>
            <w:vAlign w:val="top"/>
          </w:tcPr>
          <w:p>
            <w:pPr>
              <w:spacing w:after="0"/>
            </w:pPr>
            <w:r>
              <w:rPr>
                <w:rFonts w:ascii="Calibri" w:hAnsi="Calibri"/>
                <w:color w:val="141414"/>
              </w:rPr>
              <w:t>Extracts the top cell-type contributors for each Schur mode and reconstructs compact source-to-receiver subnetworks using greedy directed trees.</w:t>
            </w:r>
          </w:p>
        </w:tc>
      </w:tr>
      <w:tr>
        <w:tc>
          <w:tcPr>
            <w:tcW w:type="dxa" w:w="2500"/>
            <w:tcMar>
              <w:top w:w="80" w:type="dxa"/>
              <w:start w:w="120" w:type="dxa"/>
              <w:bottom w:w="80" w:type="dxa"/>
              <w:end w:w="120" w:type="dxa"/>
            </w:tcMar>
            <w:vAlign w:val="top"/>
          </w:tcPr>
          <w:p>
            <w:pPr>
              <w:spacing w:after="0"/>
            </w:pPr>
            <w:r>
              <w:rPr>
                <w:rFonts w:ascii="Calibri" w:hAnsi="Calibri"/>
                <w:color w:val="141414"/>
              </w:rPr>
              <w:t>network_linear_systems_tools_script.py</w:t>
            </w:r>
          </w:p>
        </w:tc>
        <w:tc>
          <w:tcPr>
            <w:tcW w:type="dxa" w:w="6860"/>
            <w:tcMar>
              <w:top w:w="80" w:type="dxa"/>
              <w:start w:w="120" w:type="dxa"/>
              <w:bottom w:w="80" w:type="dxa"/>
              <w:end w:w="120" w:type="dxa"/>
            </w:tcMar>
            <w:vAlign w:val="top"/>
          </w:tcPr>
          <w:p>
            <w:pPr>
              <w:spacing w:after="0"/>
            </w:pPr>
            <w:r>
              <w:rPr>
                <w:rFonts w:ascii="Calibri" w:hAnsi="Calibri"/>
                <w:color w:val="141414"/>
              </w:rPr>
              <w:t>Provides path-power, controllability, Gramian, and frequency-response tools for asking how activity can move through the network as a linear system.</w:t>
            </w:r>
          </w:p>
        </w:tc>
      </w:tr>
      <w:tr>
        <w:tc>
          <w:tcPr>
            <w:tcW w:type="dxa" w:w="2500"/>
            <w:tcMar>
              <w:top w:w="80" w:type="dxa"/>
              <w:start w:w="120" w:type="dxa"/>
              <w:bottom w:w="80" w:type="dxa"/>
              <w:end w:w="120" w:type="dxa"/>
            </w:tcMar>
            <w:vAlign w:val="top"/>
          </w:tcPr>
          <w:p>
            <w:pPr>
              <w:spacing w:after="0"/>
            </w:pPr>
            <w:r>
              <w:rPr>
                <w:rFonts w:ascii="Calibri" w:hAnsi="Calibri"/>
                <w:color w:val="141414"/>
              </w:rPr>
              <w:t>inhibitory_schur_modulation_script.py</w:t>
            </w:r>
          </w:p>
        </w:tc>
        <w:tc>
          <w:tcPr>
            <w:tcW w:type="dxa" w:w="6860"/>
            <w:tcMar>
              <w:top w:w="80" w:type="dxa"/>
              <w:start w:w="120" w:type="dxa"/>
              <w:bottom w:w="80" w:type="dxa"/>
              <w:end w:w="120" w:type="dxa"/>
            </w:tcMar>
            <w:vAlign w:val="top"/>
          </w:tcPr>
          <w:p>
            <w:pPr>
              <w:spacing w:after="0"/>
            </w:pPr>
            <w:r>
              <w:rPr>
                <w:rFonts w:ascii="Calibri" w:hAnsi="Calibri"/>
                <w:color w:val="141414"/>
              </w:rPr>
              <w:t>Specialized branch for partitioning E/I blocks, Schur-eliminating inhibitory nodes, testing perturbations, motif enrichment, and disinhibitory path ranking.</w:t>
            </w:r>
          </w:p>
        </w:tc>
      </w:tr>
    </w:tbl>
    <w:p>
      <w:pPr>
        <w:spacing w:after="40"/>
      </w:pPr>
    </w:p>
    <w:p>
      <w:pPr>
        <w:pStyle w:val="Heading1"/>
        <w:spacing w:before="320" w:after="160"/>
      </w:pPr>
      <w:r>
        <w:rPr>
          <w:rFonts w:ascii="Calibri" w:hAnsi="Calibri"/>
          <w:b/>
          <w:color w:val="2E74B5"/>
          <w:sz w:val="32"/>
        </w:rPr>
        <w:t>Data and Matrix Convention</w:t>
      </w:r>
    </w:p>
    <w:p>
      <w:pPr>
        <w:spacing w:before="0" w:after="120" w:line="264" w:lineRule="auto"/>
      </w:pPr>
      <w:r>
        <w:rPr>
          <w:rFonts w:ascii="Calibri" w:hAnsi="Calibri"/>
          <w:color w:val="141414"/>
        </w:rPr>
        <w:t>The raw M_ij CSV is treated as a source-by-receiver table: rows are outgoing source cell classes and columns are receiver cell classes. For the column-vector state update x[t + 1] = M x[t], the project transposes the raw table into M[receiver, source]. This convention is used consistently in the Schur, propagation, path, and inhibitory-modulation analyses.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F2F4F7"/>
            <w:tcMar>
              <w:top w:w="80" w:type="dxa"/>
              <w:start w:w="120" w:type="dxa"/>
              <w:bottom w:w="80" w:type="dxa"/>
              <w:end w:w="120" w:type="dxa"/>
            </w:tcMar>
            <w:vAlign w:val="top"/>
          </w:tcPr>
          <w:p>
            <w:pPr>
              <w:spacing w:after="0"/>
            </w:pPr>
            <w:r>
              <w:rPr>
                <w:rFonts w:ascii="Calibri" w:hAnsi="Calibri"/>
                <w:b/>
                <w:color w:val="141414"/>
              </w:rPr>
              <w:t>Dataset fact</w:t>
            </w:r>
          </w:p>
        </w:tc>
        <w:tc>
          <w:tcPr>
            <w:tcW w:type="dxa" w:w="6760"/>
            <w:shd w:fill="F2F4F7"/>
            <w:tcMar>
              <w:top w:w="80" w:type="dxa"/>
              <w:start w:w="120" w:type="dxa"/>
              <w:bottom w:w="80" w:type="dxa"/>
              <w:end w:w="120" w:type="dxa"/>
            </w:tcMar>
            <w:vAlign w:val="top"/>
          </w:tcPr>
          <w:p>
            <w:pPr>
              <w:spacing w:after="0"/>
            </w:pPr>
            <w:r>
              <w:rPr>
                <w:rFonts w:ascii="Calibri" w:hAnsi="Calibri"/>
                <w:b/>
                <w:color w:val="141414"/>
              </w:rPr>
              <w:t>Value</w:t>
            </w:r>
          </w:p>
        </w:tc>
      </w:tr>
      <w:tr>
        <w:tc>
          <w:tcPr>
            <w:tcW w:type="dxa" w:w="2600"/>
            <w:tcMar>
              <w:top w:w="80" w:type="dxa"/>
              <w:start w:w="120" w:type="dxa"/>
              <w:bottom w:w="80" w:type="dxa"/>
              <w:end w:w="120" w:type="dxa"/>
            </w:tcMar>
            <w:vAlign w:val="top"/>
          </w:tcPr>
          <w:p>
            <w:pPr>
              <w:spacing w:after="0"/>
            </w:pPr>
            <w:r>
              <w:rPr>
                <w:rFonts w:ascii="Calibri" w:hAnsi="Calibri"/>
                <w:color w:val="141414"/>
              </w:rPr>
              <w:t>Cell classes</w:t>
            </w:r>
          </w:p>
        </w:tc>
        <w:tc>
          <w:tcPr>
            <w:tcW w:type="dxa" w:w="6760"/>
            <w:tcMar>
              <w:top w:w="80" w:type="dxa"/>
              <w:start w:w="120" w:type="dxa"/>
              <w:bottom w:w="80" w:type="dxa"/>
              <w:end w:w="120" w:type="dxa"/>
            </w:tcMar>
            <w:vAlign w:val="top"/>
          </w:tcPr>
          <w:p>
            <w:pPr>
              <w:spacing w:after="0"/>
            </w:pPr>
            <w:r>
              <w:rPr>
                <w:rFonts w:ascii="Calibri" w:hAnsi="Calibri"/>
                <w:color w:val="141414"/>
              </w:rPr>
              <w:t>85</w:t>
            </w:r>
          </w:p>
        </w:tc>
      </w:tr>
      <w:tr>
        <w:tc>
          <w:tcPr>
            <w:tcW w:type="dxa" w:w="2600"/>
            <w:tcMar>
              <w:top w:w="80" w:type="dxa"/>
              <w:start w:w="120" w:type="dxa"/>
              <w:bottom w:w="80" w:type="dxa"/>
              <w:end w:w="120" w:type="dxa"/>
            </w:tcMar>
            <w:vAlign w:val="top"/>
          </w:tcPr>
          <w:p>
            <w:pPr>
              <w:spacing w:after="0"/>
            </w:pPr>
            <w:r>
              <w:rPr>
                <w:rFonts w:ascii="Calibri" w:hAnsi="Calibri"/>
                <w:color w:val="141414"/>
              </w:rPr>
              <w:t>Nonzero directed weights</w:t>
            </w:r>
          </w:p>
        </w:tc>
        <w:tc>
          <w:tcPr>
            <w:tcW w:type="dxa" w:w="6760"/>
            <w:tcMar>
              <w:top w:w="80" w:type="dxa"/>
              <w:start w:w="120" w:type="dxa"/>
              <w:bottom w:w="80" w:type="dxa"/>
              <w:end w:w="120" w:type="dxa"/>
            </w:tcMar>
            <w:vAlign w:val="top"/>
          </w:tcPr>
          <w:p>
            <w:pPr>
              <w:spacing w:after="0"/>
            </w:pPr>
            <w:r>
              <w:rPr>
                <w:rFonts w:ascii="Calibri" w:hAnsi="Calibri"/>
                <w:color w:val="141414"/>
              </w:rPr>
              <w:t>1,641</w:t>
            </w:r>
          </w:p>
        </w:tc>
      </w:tr>
      <w:tr>
        <w:tc>
          <w:tcPr>
            <w:tcW w:type="dxa" w:w="2600"/>
            <w:tcMar>
              <w:top w:w="80" w:type="dxa"/>
              <w:start w:w="120" w:type="dxa"/>
              <w:bottom w:w="80" w:type="dxa"/>
              <w:end w:w="120" w:type="dxa"/>
            </w:tcMar>
            <w:vAlign w:val="top"/>
          </w:tcPr>
          <w:p>
            <w:pPr>
              <w:spacing w:after="0"/>
            </w:pPr>
            <w:r>
              <w:rPr>
                <w:rFonts w:ascii="Calibri" w:hAnsi="Calibri"/>
                <w:color w:val="141414"/>
              </w:rPr>
              <w:t>Matrix density</w:t>
            </w:r>
          </w:p>
        </w:tc>
        <w:tc>
          <w:tcPr>
            <w:tcW w:type="dxa" w:w="6760"/>
            <w:tcMar>
              <w:top w:w="80" w:type="dxa"/>
              <w:start w:w="120" w:type="dxa"/>
              <w:bottom w:w="80" w:type="dxa"/>
              <w:end w:w="120" w:type="dxa"/>
            </w:tcMar>
            <w:vAlign w:val="top"/>
          </w:tcPr>
          <w:p>
            <w:pPr>
              <w:spacing w:after="0"/>
            </w:pPr>
            <w:r>
              <w:rPr>
                <w:rFonts w:ascii="Calibri" w:hAnsi="Calibri"/>
                <w:color w:val="141414"/>
              </w:rPr>
              <w:t>22.7%</w:t>
            </w:r>
          </w:p>
        </w:tc>
      </w:tr>
      <w:tr>
        <w:tc>
          <w:tcPr>
            <w:tcW w:type="dxa" w:w="2600"/>
            <w:tcMar>
              <w:top w:w="80" w:type="dxa"/>
              <w:start w:w="120" w:type="dxa"/>
              <w:bottom w:w="80" w:type="dxa"/>
              <w:end w:w="120" w:type="dxa"/>
            </w:tcMar>
            <w:vAlign w:val="top"/>
          </w:tcPr>
          <w:p>
            <w:pPr>
              <w:spacing w:after="0"/>
            </w:pPr>
            <w:r>
              <w:rPr>
                <w:rFonts w:ascii="Calibri" w:hAnsi="Calibri"/>
                <w:color w:val="141414"/>
              </w:rPr>
              <w:t>Excitatory classes</w:t>
            </w:r>
          </w:p>
        </w:tc>
        <w:tc>
          <w:tcPr>
            <w:tcW w:type="dxa" w:w="6760"/>
            <w:tcMar>
              <w:top w:w="80" w:type="dxa"/>
              <w:start w:w="120" w:type="dxa"/>
              <w:bottom w:w="80" w:type="dxa"/>
              <w:end w:w="120" w:type="dxa"/>
            </w:tcMar>
            <w:vAlign w:val="top"/>
          </w:tcPr>
          <w:p>
            <w:pPr>
              <w:spacing w:after="0"/>
            </w:pPr>
            <w:r>
              <w:rPr>
                <w:rFonts w:ascii="Calibri" w:hAnsi="Calibri"/>
                <w:color w:val="141414"/>
              </w:rPr>
              <w:t>32</w:t>
            </w:r>
          </w:p>
        </w:tc>
      </w:tr>
      <w:tr>
        <w:tc>
          <w:tcPr>
            <w:tcW w:type="dxa" w:w="2600"/>
            <w:tcMar>
              <w:top w:w="80" w:type="dxa"/>
              <w:start w:w="120" w:type="dxa"/>
              <w:bottom w:w="80" w:type="dxa"/>
              <w:end w:w="120" w:type="dxa"/>
            </w:tcMar>
            <w:vAlign w:val="top"/>
          </w:tcPr>
          <w:p>
            <w:pPr>
              <w:spacing w:after="0"/>
            </w:pPr>
            <w:r>
              <w:rPr>
                <w:rFonts w:ascii="Calibri" w:hAnsi="Calibri"/>
                <w:color w:val="141414"/>
              </w:rPr>
              <w:t>Inhibitory classes</w:t>
            </w:r>
          </w:p>
        </w:tc>
        <w:tc>
          <w:tcPr>
            <w:tcW w:type="dxa" w:w="6760"/>
            <w:tcMar>
              <w:top w:w="80" w:type="dxa"/>
              <w:start w:w="120" w:type="dxa"/>
              <w:bottom w:w="80" w:type="dxa"/>
              <w:end w:w="120" w:type="dxa"/>
            </w:tcMar>
            <w:vAlign w:val="top"/>
          </w:tcPr>
          <w:p>
            <w:pPr>
              <w:spacing w:after="0"/>
            </w:pPr>
            <w:r>
              <w:rPr>
                <w:rFonts w:ascii="Calibri" w:hAnsi="Calibri"/>
                <w:color w:val="141414"/>
              </w:rPr>
              <w:t>53</w:t>
            </w:r>
          </w:p>
        </w:tc>
      </w:tr>
      <w:tr>
        <w:tc>
          <w:tcPr>
            <w:tcW w:type="dxa" w:w="2600"/>
            <w:tcMar>
              <w:top w:w="80" w:type="dxa"/>
              <w:start w:w="120" w:type="dxa"/>
              <w:bottom w:w="80" w:type="dxa"/>
              <w:end w:w="120" w:type="dxa"/>
            </w:tcMar>
            <w:vAlign w:val="top"/>
          </w:tcPr>
          <w:p>
            <w:pPr>
              <w:spacing w:after="0"/>
            </w:pPr>
            <w:r>
              <w:rPr>
                <w:rFonts w:ascii="Calibri" w:hAnsi="Calibri"/>
                <w:color w:val="141414"/>
              </w:rPr>
              <w:t>Largest region counts</w:t>
            </w:r>
          </w:p>
        </w:tc>
        <w:tc>
          <w:tcPr>
            <w:tcW w:type="dxa" w:w="6760"/>
            <w:tcMar>
              <w:top w:w="80" w:type="dxa"/>
              <w:start w:w="120" w:type="dxa"/>
              <w:bottom w:w="80" w:type="dxa"/>
              <w:end w:w="120" w:type="dxa"/>
            </w:tcMar>
            <w:vAlign w:val="top"/>
          </w:tcPr>
          <w:p>
            <w:pPr>
              <w:spacing w:after="0"/>
            </w:pPr>
            <w:r>
              <w:rPr>
                <w:rFonts w:ascii="Calibri" w:hAnsi="Calibri"/>
                <w:color w:val="141414"/>
              </w:rPr>
              <w:t>CA1: 28, CA3: 14, DG: 14, MEC: 11, EC: 9</w:t>
            </w:r>
          </w:p>
        </w:tc>
      </w:tr>
    </w:tbl>
    <w:p>
      <w:pPr>
        <w:spacing w:after="40"/>
      </w:pPr>
    </w:p>
    <w:p>
      <w:pPr>
        <w:spacing w:before="80" w:after="0"/>
        <w:jc w:val="center"/>
      </w:pPr>
      <w:r>
        <w:drawing>
          <wp:inline xmlns:a="http://schemas.openxmlformats.org/drawingml/2006/main" xmlns:pic="http://schemas.openxmlformats.org/drawingml/2006/picture">
            <wp:extent cx="5806440" cy="2213705"/>
            <wp:docPr id="2" name="Picture 2"/>
            <wp:cNvGraphicFramePr>
              <a:graphicFrameLocks noChangeAspect="1"/>
            </wp:cNvGraphicFramePr>
            <a:graphic>
              <a:graphicData uri="http://schemas.openxmlformats.org/drawingml/2006/picture">
                <pic:pic>
                  <pic:nvPicPr>
                    <pic:cNvPr id="0" name="schur_decomp_matrix_composition.png"/>
                    <pic:cNvPicPr/>
                  </pic:nvPicPr>
                  <pic:blipFill>
                    <a:blip r:embed="rId12"/>
                    <a:stretch>
                      <a:fillRect/>
                    </a:stretch>
                  </pic:blipFill>
                  <pic:spPr>
                    <a:xfrm>
                      <a:off x="0" y="0"/>
                      <a:ext cx="5806440" cy="2213705"/>
                    </a:xfrm>
                    <a:prstGeom prst="rect"/>
                  </pic:spPr>
                </pic:pic>
              </a:graphicData>
            </a:graphic>
          </wp:inline>
        </w:drawing>
      </w:r>
    </w:p>
    <w:p>
      <w:pPr>
        <w:spacing w:before="60" w:after="180"/>
        <w:jc w:val="center"/>
      </w:pPr>
      <w:r>
        <w:rPr>
          <w:rFonts w:ascii="Calibri" w:hAnsi="Calibri"/>
          <w:i/>
          <w:color w:val="585858"/>
          <w:sz w:val="19"/>
        </w:rPr>
        <w:t>Figure 2. Composition of the primary connectivity matrix by region and E/I label.</w:t>
      </w:r>
    </w:p>
    <w:p>
      <w:pPr>
        <w:pStyle w:val="Heading1"/>
        <w:spacing w:before="320" w:after="160"/>
      </w:pPr>
      <w:r>
        <w:rPr>
          <w:rFonts w:ascii="Calibri" w:hAnsi="Calibri"/>
          <w:b/>
          <w:color w:val="2E74B5"/>
          <w:sz w:val="32"/>
        </w:rPr>
        <w:t>Methods Used and Why</w:t>
      </w:r>
    </w:p>
    <w:tbl>
      <w:tblPr>
        <w:tblStyle w:val="TableGrid"/>
        <w:tblW w:type="dxa" w:w="9360"/>
        <w:jc w:val="left"/>
        <w:tblLayout w:type="fixed"/>
        <w:tblLook w:firstColumn="1" w:firstRow="1" w:lastColumn="0" w:lastRow="0" w:noHBand="0" w:noVBand="1" w:val="04A0"/>
        <w:tblInd w:w="120" w:type="dxa"/>
      </w:tblPr>
      <w:tblGrid>
        <w:gridCol w:w="1900"/>
        <w:gridCol w:w="3550"/>
        <w:gridCol w:w="3910"/>
      </w:tblGrid>
      <w:tr>
        <w:tc>
          <w:tcPr>
            <w:tcW w:type="dxa" w:w="1900"/>
            <w:shd w:fill="F2F4F7"/>
            <w:tcMar>
              <w:top w:w="80" w:type="dxa"/>
              <w:start w:w="120" w:type="dxa"/>
              <w:bottom w:w="80" w:type="dxa"/>
              <w:end w:w="120" w:type="dxa"/>
            </w:tcMar>
            <w:vAlign w:val="top"/>
          </w:tcPr>
          <w:p>
            <w:pPr>
              <w:spacing w:after="0"/>
            </w:pPr>
            <w:r>
              <w:rPr>
                <w:rFonts w:ascii="Calibri" w:hAnsi="Calibri"/>
                <w:b/>
                <w:color w:val="141414"/>
              </w:rPr>
              <w:t>Method</w:t>
            </w:r>
          </w:p>
        </w:tc>
        <w:tc>
          <w:tcPr>
            <w:tcW w:type="dxa" w:w="3550"/>
            <w:shd w:fill="F2F4F7"/>
            <w:tcMar>
              <w:top w:w="80" w:type="dxa"/>
              <w:start w:w="120" w:type="dxa"/>
              <w:bottom w:w="80" w:type="dxa"/>
              <w:end w:w="120" w:type="dxa"/>
            </w:tcMar>
            <w:vAlign w:val="top"/>
          </w:tcPr>
          <w:p>
            <w:pPr>
              <w:spacing w:after="0"/>
            </w:pPr>
            <w:r>
              <w:rPr>
                <w:rFonts w:ascii="Calibri" w:hAnsi="Calibri"/>
                <w:b/>
                <w:color w:val="141414"/>
              </w:rPr>
              <w:t>What was done</w:t>
            </w:r>
          </w:p>
        </w:tc>
        <w:tc>
          <w:tcPr>
            <w:tcW w:type="dxa" w:w="3910"/>
            <w:shd w:fill="F2F4F7"/>
            <w:tcMar>
              <w:top w:w="80" w:type="dxa"/>
              <w:start w:w="120" w:type="dxa"/>
              <w:bottom w:w="80" w:type="dxa"/>
              <w:end w:w="120" w:type="dxa"/>
            </w:tcMar>
            <w:vAlign w:val="top"/>
          </w:tcPr>
          <w:p>
            <w:pPr>
              <w:spacing w:after="0"/>
            </w:pPr>
            <w:r>
              <w:rPr>
                <w:rFonts w:ascii="Calibri" w:hAnsi="Calibri"/>
                <w:b/>
                <w:color w:val="141414"/>
              </w:rPr>
              <w:t>Why it was used</w:t>
            </w:r>
          </w:p>
        </w:tc>
      </w:tr>
      <w:tr>
        <w:tc>
          <w:tcPr>
            <w:tcW w:type="dxa" w:w="1900"/>
            <w:tcMar>
              <w:top w:w="80" w:type="dxa"/>
              <w:start w:w="120" w:type="dxa"/>
              <w:bottom w:w="80" w:type="dxa"/>
              <w:end w:w="120" w:type="dxa"/>
            </w:tcMar>
            <w:vAlign w:val="top"/>
          </w:tcPr>
          <w:p>
            <w:pPr>
              <w:spacing w:after="0"/>
            </w:pPr>
            <w:r>
              <w:rPr>
                <w:rFonts w:ascii="Calibri" w:hAnsi="Calibri"/>
                <w:color w:val="141414"/>
              </w:rPr>
              <w:t>Orientation correction</w:t>
            </w:r>
          </w:p>
        </w:tc>
        <w:tc>
          <w:tcPr>
            <w:tcW w:type="dxa" w:w="3550"/>
            <w:tcMar>
              <w:top w:w="80" w:type="dxa"/>
              <w:start w:w="120" w:type="dxa"/>
              <w:bottom w:w="80" w:type="dxa"/>
              <w:end w:w="120" w:type="dxa"/>
            </w:tcMar>
            <w:vAlign w:val="top"/>
          </w:tcPr>
          <w:p>
            <w:pPr>
              <w:spacing w:after="0"/>
            </w:pPr>
            <w:r>
              <w:rPr>
                <w:rFonts w:ascii="Calibri" w:hAnsi="Calibri"/>
                <w:color w:val="141414"/>
              </w:rPr>
              <w:t>The raw source-row matrix is transposed into M[receiver, source].</w:t>
            </w:r>
          </w:p>
        </w:tc>
        <w:tc>
          <w:tcPr>
            <w:tcW w:type="dxa" w:w="3910"/>
            <w:tcMar>
              <w:top w:w="80" w:type="dxa"/>
              <w:start w:w="120" w:type="dxa"/>
              <w:bottom w:w="80" w:type="dxa"/>
              <w:end w:w="120" w:type="dxa"/>
            </w:tcMar>
            <w:vAlign w:val="top"/>
          </w:tcPr>
          <w:p>
            <w:pPr>
              <w:spacing w:after="0"/>
            </w:pPr>
            <w:r>
              <w:rPr>
                <w:rFonts w:ascii="Calibri" w:hAnsi="Calibri"/>
                <w:color w:val="141414"/>
              </w:rPr>
              <w:t>This aligns biological source -&gt; receiver language with the standard linear update x[t + 1] = M x[t].</w:t>
            </w:r>
          </w:p>
        </w:tc>
      </w:tr>
      <w:tr>
        <w:tc>
          <w:tcPr>
            <w:tcW w:type="dxa" w:w="1900"/>
            <w:tcMar>
              <w:top w:w="80" w:type="dxa"/>
              <w:start w:w="120" w:type="dxa"/>
              <w:bottom w:w="80" w:type="dxa"/>
              <w:end w:w="120" w:type="dxa"/>
            </w:tcMar>
            <w:vAlign w:val="top"/>
          </w:tcPr>
          <w:p>
            <w:pPr>
              <w:spacing w:after="0"/>
            </w:pPr>
            <w:r>
              <w:rPr>
                <w:rFonts w:ascii="Calibri" w:hAnsi="Calibri"/>
                <w:color w:val="141414"/>
              </w:rPr>
              <w:t>Spectral-radius normalization</w:t>
            </w:r>
          </w:p>
        </w:tc>
        <w:tc>
          <w:tcPr>
            <w:tcW w:type="dxa" w:w="3550"/>
            <w:tcMar>
              <w:top w:w="80" w:type="dxa"/>
              <w:start w:w="120" w:type="dxa"/>
              <w:bottom w:w="80" w:type="dxa"/>
              <w:end w:w="120" w:type="dxa"/>
            </w:tcMar>
            <w:vAlign w:val="top"/>
          </w:tcPr>
          <w:p>
            <w:pPr>
              <w:spacing w:after="0"/>
            </w:pPr>
            <w:r>
              <w:rPr>
                <w:rFonts w:ascii="Calibri" w:hAnsi="Calibri"/>
                <w:color w:val="141414"/>
              </w:rPr>
              <w:t>Most analyses scale the matrix to a target spectral radius, commonly 0.95.</w:t>
            </w:r>
          </w:p>
        </w:tc>
        <w:tc>
          <w:tcPr>
            <w:tcW w:type="dxa" w:w="3910"/>
            <w:tcMar>
              <w:top w:w="80" w:type="dxa"/>
              <w:start w:w="120" w:type="dxa"/>
              <w:bottom w:w="80" w:type="dxa"/>
              <w:end w:w="120" w:type="dxa"/>
            </w:tcMar>
            <w:vAlign w:val="top"/>
          </w:tcPr>
          <w:p>
            <w:pPr>
              <w:spacing w:after="0"/>
            </w:pPr>
            <w:r>
              <w:rPr>
                <w:rFonts w:ascii="Calibri" w:hAnsi="Calibri"/>
                <w:color w:val="141414"/>
              </w:rPr>
              <w:t>This prevents trivial blow-up in discrete propagation and allows comparisons across with-self and no-self variants.</w:t>
            </w:r>
          </w:p>
        </w:tc>
      </w:tr>
      <w:tr>
        <w:tc>
          <w:tcPr>
            <w:tcW w:type="dxa" w:w="1900"/>
            <w:tcMar>
              <w:top w:w="80" w:type="dxa"/>
              <w:start w:w="120" w:type="dxa"/>
              <w:bottom w:w="80" w:type="dxa"/>
              <w:end w:w="120" w:type="dxa"/>
            </w:tcMar>
            <w:vAlign w:val="top"/>
          </w:tcPr>
          <w:p>
            <w:pPr>
              <w:spacing w:after="0"/>
            </w:pPr>
            <w:r>
              <w:rPr>
                <w:rFonts w:ascii="Calibri" w:hAnsi="Calibri"/>
                <w:color w:val="141414"/>
              </w:rPr>
              <w:t>Schur decomposition</w:t>
            </w:r>
          </w:p>
        </w:tc>
        <w:tc>
          <w:tcPr>
            <w:tcW w:type="dxa" w:w="3550"/>
            <w:tcMar>
              <w:top w:w="80" w:type="dxa"/>
              <w:start w:w="120" w:type="dxa"/>
              <w:bottom w:w="80" w:type="dxa"/>
              <w:end w:w="120" w:type="dxa"/>
            </w:tcMar>
            <w:vAlign w:val="top"/>
          </w:tcPr>
          <w:p>
            <w:pPr>
              <w:spacing w:after="0"/>
            </w:pPr>
            <w:r>
              <w:rPr>
                <w:rFonts w:ascii="Calibri" w:hAnsi="Calibri"/>
                <w:color w:val="141414"/>
              </w:rPr>
              <w:t>The project computes A = Q T Q* in complex or real Schur form.</w:t>
            </w:r>
          </w:p>
        </w:tc>
        <w:tc>
          <w:tcPr>
            <w:tcW w:type="dxa" w:w="3910"/>
            <w:tcMar>
              <w:top w:w="80" w:type="dxa"/>
              <w:start w:w="120" w:type="dxa"/>
              <w:bottom w:w="80" w:type="dxa"/>
              <w:end w:w="120" w:type="dxa"/>
            </w:tcMar>
            <w:vAlign w:val="top"/>
          </w:tcPr>
          <w:p>
            <w:pPr>
              <w:spacing w:after="0"/>
            </w:pPr>
            <w:r>
              <w:rPr>
                <w:rFonts w:ascii="Calibri" w:hAnsi="Calibri"/>
                <w:color w:val="141414"/>
              </w:rPr>
              <w:t>Schur vectors are orthonormal and numerically stable; T preserves upper-triangular mode-to-mode coupling.</w:t>
            </w:r>
          </w:p>
        </w:tc>
      </w:tr>
      <w:tr>
        <w:tc>
          <w:tcPr>
            <w:tcW w:type="dxa" w:w="1900"/>
            <w:tcMar>
              <w:top w:w="80" w:type="dxa"/>
              <w:start w:w="120" w:type="dxa"/>
              <w:bottom w:w="80" w:type="dxa"/>
              <w:end w:w="120" w:type="dxa"/>
            </w:tcMar>
            <w:vAlign w:val="top"/>
          </w:tcPr>
          <w:p>
            <w:pPr>
              <w:spacing w:after="0"/>
            </w:pPr>
            <w:r>
              <w:rPr>
                <w:rFonts w:ascii="Calibri" w:hAnsi="Calibri"/>
                <w:color w:val="141414"/>
              </w:rPr>
              <w:t>Eigenvalue and dominant-mode analysis</w:t>
            </w:r>
          </w:p>
        </w:tc>
        <w:tc>
          <w:tcPr>
            <w:tcW w:type="dxa" w:w="3550"/>
            <w:tcMar>
              <w:top w:w="80" w:type="dxa"/>
              <w:start w:w="120" w:type="dxa"/>
              <w:bottom w:w="80" w:type="dxa"/>
              <w:end w:w="120" w:type="dxa"/>
            </w:tcMar>
            <w:vAlign w:val="top"/>
          </w:tcPr>
          <w:p>
            <w:pPr>
              <w:spacing w:after="0"/>
            </w:pPr>
            <w:r>
              <w:rPr>
                <w:rFonts w:ascii="Calibri" w:hAnsi="Calibri"/>
                <w:color w:val="141414"/>
              </w:rPr>
              <w:t>Eigenvalues, dominant eigenvectors, and Schur-vector loadings are ranked and summarized by cell type and region.</w:t>
            </w:r>
          </w:p>
        </w:tc>
        <w:tc>
          <w:tcPr>
            <w:tcW w:type="dxa" w:w="3910"/>
            <w:tcMar>
              <w:top w:w="80" w:type="dxa"/>
              <w:start w:w="120" w:type="dxa"/>
              <w:bottom w:w="80" w:type="dxa"/>
              <w:end w:w="120" w:type="dxa"/>
            </w:tcMar>
            <w:vAlign w:val="top"/>
          </w:tcPr>
          <w:p>
            <w:pPr>
              <w:spacing w:after="0"/>
            </w:pPr>
            <w:r>
              <w:rPr>
                <w:rFonts w:ascii="Calibri" w:hAnsi="Calibri"/>
                <w:color w:val="141414"/>
              </w:rPr>
              <w:t>Eigenvalues describe growth/decay and oscillation, while loadings connect abstract modes back to biological cell classes.</w:t>
            </w:r>
          </w:p>
        </w:tc>
      </w:tr>
      <w:tr>
        <w:tc>
          <w:tcPr>
            <w:tcW w:type="dxa" w:w="1900"/>
            <w:tcMar>
              <w:top w:w="80" w:type="dxa"/>
              <w:start w:w="120" w:type="dxa"/>
              <w:bottom w:w="80" w:type="dxa"/>
              <w:end w:w="120" w:type="dxa"/>
            </w:tcMar>
            <w:vAlign w:val="top"/>
          </w:tcPr>
          <w:p>
            <w:pPr>
              <w:spacing w:after="0"/>
            </w:pPr>
            <w:r>
              <w:rPr>
                <w:rFonts w:ascii="Calibri" w:hAnsi="Calibri"/>
                <w:color w:val="141414"/>
              </w:rPr>
              <w:t>Left-action/readout analysis</w:t>
            </w:r>
          </w:p>
        </w:tc>
        <w:tc>
          <w:tcPr>
            <w:tcW w:type="dxa" w:w="3550"/>
            <w:tcMar>
              <w:top w:w="80" w:type="dxa"/>
              <w:start w:w="120" w:type="dxa"/>
              <w:bottom w:w="80" w:type="dxa"/>
              <w:end w:w="120" w:type="dxa"/>
            </w:tcMar>
            <w:vAlign w:val="top"/>
          </w:tcPr>
          <w:p>
            <w:pPr>
              <w:spacing w:after="0"/>
            </w:pPr>
            <w:r>
              <w:rPr>
                <w:rFonts w:ascii="Calibri" w:hAnsi="Calibri"/>
                <w:color w:val="141414"/>
              </w:rPr>
              <w:t>Several notebooks distinguish Schur vectors from true eigenvectors and left eigenvector action/readout directions.</w:t>
            </w:r>
          </w:p>
        </w:tc>
        <w:tc>
          <w:tcPr>
            <w:tcW w:type="dxa" w:w="3910"/>
            <w:tcMar>
              <w:top w:w="80" w:type="dxa"/>
              <w:start w:w="120" w:type="dxa"/>
              <w:bottom w:w="80" w:type="dxa"/>
              <w:end w:w="120" w:type="dxa"/>
            </w:tcMar>
            <w:vAlign w:val="top"/>
          </w:tcPr>
          <w:p>
            <w:pPr>
              <w:spacing w:after="0"/>
            </w:pPr>
            <w:r>
              <w:rPr>
                <w:rFonts w:ascii="Calibri" w:hAnsi="Calibri"/>
                <w:color w:val="141414"/>
              </w:rPr>
              <w:t>This avoids overinterpreting Schur vectors as eigenvectors and improves interpretation of mode sensitivity.</w:t>
            </w:r>
          </w:p>
        </w:tc>
      </w:tr>
      <w:tr>
        <w:tc>
          <w:tcPr>
            <w:tcW w:type="dxa" w:w="1900"/>
            <w:tcMar>
              <w:top w:w="80" w:type="dxa"/>
              <w:start w:w="120" w:type="dxa"/>
              <w:bottom w:w="80" w:type="dxa"/>
              <w:end w:w="120" w:type="dxa"/>
            </w:tcMar>
            <w:vAlign w:val="top"/>
          </w:tcPr>
          <w:p>
            <w:pPr>
              <w:spacing w:after="0"/>
            </w:pPr>
            <w:r>
              <w:rPr>
                <w:rFonts w:ascii="Calibri" w:hAnsi="Calibri"/>
                <w:color w:val="141414"/>
              </w:rPr>
              <w:t>E/I routing ratios and regimes</w:t>
            </w:r>
          </w:p>
        </w:tc>
        <w:tc>
          <w:tcPr>
            <w:tcW w:type="dxa" w:w="3550"/>
            <w:tcMar>
              <w:top w:w="80" w:type="dxa"/>
              <w:start w:w="120" w:type="dxa"/>
              <w:bottom w:w="80" w:type="dxa"/>
              <w:end w:w="120" w:type="dxa"/>
            </w:tcMar>
            <w:vAlign w:val="top"/>
          </w:tcPr>
          <w:p>
            <w:pPr>
              <w:spacing w:after="0"/>
            </w:pPr>
            <w:r>
              <w:rPr>
                <w:rFonts w:ascii="Calibri" w:hAnsi="Calibri"/>
                <w:color w:val="141414"/>
              </w:rPr>
              <w:t>Active edges within high-loading mode contributors are classified by E/E, E/I, I/E, and I/I routing.</w:t>
            </w:r>
          </w:p>
        </w:tc>
        <w:tc>
          <w:tcPr>
            <w:tcW w:type="dxa" w:w="3910"/>
            <w:tcMar>
              <w:top w:w="80" w:type="dxa"/>
              <w:start w:w="120" w:type="dxa"/>
              <w:bottom w:w="80" w:type="dxa"/>
              <w:end w:w="120" w:type="dxa"/>
            </w:tcMar>
            <w:vAlign w:val="top"/>
          </w:tcPr>
          <w:p>
            <w:pPr>
              <w:spacing w:after="0"/>
            </w:pPr>
            <w:r>
              <w:rPr>
                <w:rFonts w:ascii="Calibri" w:hAnsi="Calibri"/>
                <w:color w:val="141414"/>
              </w:rPr>
              <w:t>The goal is to describe whether a mode behaves like excitatory recurrence, inhibitory feedback, disinhibition, or mixed routing.</w:t>
            </w:r>
          </w:p>
        </w:tc>
      </w:tr>
      <w:tr>
        <w:tc>
          <w:tcPr>
            <w:tcW w:type="dxa" w:w="1900"/>
            <w:tcMar>
              <w:top w:w="80" w:type="dxa"/>
              <w:start w:w="120" w:type="dxa"/>
              <w:bottom w:w="80" w:type="dxa"/>
              <w:end w:w="120" w:type="dxa"/>
            </w:tcMar>
            <w:vAlign w:val="top"/>
          </w:tcPr>
          <w:p>
            <w:pPr>
              <w:spacing w:after="0"/>
            </w:pPr>
            <w:r>
              <w:rPr>
                <w:rFonts w:ascii="Calibri" w:hAnsi="Calibri"/>
                <w:color w:val="141414"/>
              </w:rPr>
              <w:t>Signal propagation in Schur coordinates</w:t>
            </w:r>
          </w:p>
        </w:tc>
        <w:tc>
          <w:tcPr>
            <w:tcW w:type="dxa" w:w="3550"/>
            <w:tcMar>
              <w:top w:w="80" w:type="dxa"/>
              <w:start w:w="120" w:type="dxa"/>
              <w:bottom w:w="80" w:type="dxa"/>
              <w:end w:w="120" w:type="dxa"/>
            </w:tcMar>
            <w:vAlign w:val="top"/>
          </w:tcPr>
          <w:p>
            <w:pPr>
              <w:spacing w:after="0"/>
            </w:pPr>
            <w:r>
              <w:rPr>
                <w:rFonts w:ascii="Calibri" w:hAnsi="Calibri"/>
                <w:color w:val="141414"/>
              </w:rPr>
              <w:t>Initial activity in selected cell classes is mapped into Schur coordinates and advanced by T.</w:t>
            </w:r>
          </w:p>
        </w:tc>
        <w:tc>
          <w:tcPr>
            <w:tcW w:type="dxa" w:w="3910"/>
            <w:tcMar>
              <w:top w:w="80" w:type="dxa"/>
              <w:start w:w="120" w:type="dxa"/>
              <w:bottom w:w="80" w:type="dxa"/>
              <w:end w:w="120" w:type="dxa"/>
            </w:tcMar>
            <w:vAlign w:val="top"/>
          </w:tcPr>
          <w:p>
            <w:pPr>
              <w:spacing w:after="0"/>
            </w:pPr>
            <w:r>
              <w:rPr>
                <w:rFonts w:ascii="Calibri" w:hAnsi="Calibri"/>
                <w:color w:val="141414"/>
              </w:rPr>
              <w:t>This shows how a perturbation spreads through the modal coupling hierarchy rather than only through raw edges.</w:t>
            </w:r>
          </w:p>
        </w:tc>
      </w:tr>
      <w:tr>
        <w:tc>
          <w:tcPr>
            <w:tcW w:type="dxa" w:w="1900"/>
            <w:tcMar>
              <w:top w:w="80" w:type="dxa"/>
              <w:start w:w="120" w:type="dxa"/>
              <w:bottom w:w="80" w:type="dxa"/>
              <w:end w:w="120" w:type="dxa"/>
            </w:tcMar>
            <w:vAlign w:val="top"/>
          </w:tcPr>
          <w:p>
            <w:pPr>
              <w:spacing w:after="0"/>
            </w:pPr>
            <w:r>
              <w:rPr>
                <w:rFonts w:ascii="Calibri" w:hAnsi="Calibri"/>
                <w:color w:val="141414"/>
              </w:rPr>
              <w:t>Path-power analysis</w:t>
            </w:r>
          </w:p>
        </w:tc>
        <w:tc>
          <w:tcPr>
            <w:tcW w:type="dxa" w:w="3550"/>
            <w:tcMar>
              <w:top w:w="80" w:type="dxa"/>
              <w:start w:w="120" w:type="dxa"/>
              <w:bottom w:w="80" w:type="dxa"/>
              <w:end w:w="120" w:type="dxa"/>
            </w:tcMar>
            <w:vAlign w:val="top"/>
          </w:tcPr>
          <w:p>
            <w:pPr>
              <w:spacing w:after="0"/>
            </w:pPr>
            <w:r>
              <w:rPr>
                <w:rFonts w:ascii="Calibri" w:hAnsi="Calibri"/>
                <w:color w:val="141414"/>
              </w:rPr>
              <w:t>The project computes M^k and cumulative weighted path matrices.</w:t>
            </w:r>
          </w:p>
        </w:tc>
        <w:tc>
          <w:tcPr>
            <w:tcW w:type="dxa" w:w="3910"/>
            <w:tcMar>
              <w:top w:w="80" w:type="dxa"/>
              <w:start w:w="120" w:type="dxa"/>
              <w:bottom w:w="80" w:type="dxa"/>
              <w:end w:w="120" w:type="dxa"/>
            </w:tcMar>
            <w:vAlign w:val="top"/>
          </w:tcPr>
          <w:p>
            <w:pPr>
              <w:spacing w:after="0"/>
            </w:pPr>
            <w:r>
              <w:rPr>
                <w:rFonts w:ascii="Calibri" w:hAnsi="Calibri"/>
                <w:color w:val="141414"/>
              </w:rPr>
              <w:t>Powers of M aggregate all length-k walks from source to receiver, revealing indirect propagation channels.</w:t>
            </w:r>
          </w:p>
        </w:tc>
      </w:tr>
      <w:tr>
        <w:tc>
          <w:tcPr>
            <w:tcW w:type="dxa" w:w="1900"/>
            <w:tcMar>
              <w:top w:w="80" w:type="dxa"/>
              <w:start w:w="120" w:type="dxa"/>
              <w:bottom w:w="80" w:type="dxa"/>
              <w:end w:w="120" w:type="dxa"/>
            </w:tcMar>
            <w:vAlign w:val="top"/>
          </w:tcPr>
          <w:p>
            <w:pPr>
              <w:spacing w:after="0"/>
            </w:pPr>
            <w:r>
              <w:rPr>
                <w:rFonts w:ascii="Calibri" w:hAnsi="Calibri"/>
                <w:color w:val="141414"/>
              </w:rPr>
              <w:t>Controllability and frequency response</w:t>
            </w:r>
          </w:p>
        </w:tc>
        <w:tc>
          <w:tcPr>
            <w:tcW w:type="dxa" w:w="3550"/>
            <w:tcMar>
              <w:top w:w="80" w:type="dxa"/>
              <w:start w:w="120" w:type="dxa"/>
              <w:bottom w:w="80" w:type="dxa"/>
              <w:end w:w="120" w:type="dxa"/>
            </w:tcMar>
            <w:vAlign w:val="top"/>
          </w:tcPr>
          <w:p>
            <w:pPr>
              <w:spacing w:after="0"/>
            </w:pPr>
            <w:r>
              <w:rPr>
                <w:rFonts w:ascii="Calibri" w:hAnsi="Calibri"/>
                <w:color w:val="141414"/>
              </w:rPr>
              <w:t>Discrete Gramians, continuous-time shifted systems, and transfer-function gains are computed.</w:t>
            </w:r>
          </w:p>
        </w:tc>
        <w:tc>
          <w:tcPr>
            <w:tcW w:type="dxa" w:w="3910"/>
            <w:tcMar>
              <w:top w:w="80" w:type="dxa"/>
              <w:start w:w="120" w:type="dxa"/>
              <w:bottom w:w="80" w:type="dxa"/>
              <w:end w:w="120" w:type="dxa"/>
            </w:tcMar>
            <w:vAlign w:val="top"/>
          </w:tcPr>
          <w:p>
            <w:pPr>
              <w:spacing w:after="0"/>
            </w:pPr>
            <w:r>
              <w:rPr>
                <w:rFonts w:ascii="Calibri" w:hAnsi="Calibri"/>
                <w:color w:val="141414"/>
              </w:rPr>
              <w:t>These methods ask which nodes are influential drivers and which frequencies produce large network responses.</w:t>
            </w:r>
          </w:p>
        </w:tc>
      </w:tr>
      <w:tr>
        <w:tc>
          <w:tcPr>
            <w:tcW w:type="dxa" w:w="1900"/>
            <w:tcMar>
              <w:top w:w="80" w:type="dxa"/>
              <w:start w:w="120" w:type="dxa"/>
              <w:bottom w:w="80" w:type="dxa"/>
              <w:end w:w="120" w:type="dxa"/>
            </w:tcMar>
            <w:vAlign w:val="top"/>
          </w:tcPr>
          <w:p>
            <w:pPr>
              <w:spacing w:after="0"/>
            </w:pPr>
            <w:r>
              <w:rPr>
                <w:rFonts w:ascii="Calibri" w:hAnsi="Calibri"/>
                <w:color w:val="141414"/>
              </w:rPr>
              <w:t>Greedy mode trees</w:t>
            </w:r>
          </w:p>
        </w:tc>
        <w:tc>
          <w:tcPr>
            <w:tcW w:type="dxa" w:w="3550"/>
            <w:tcMar>
              <w:top w:w="80" w:type="dxa"/>
              <w:start w:w="120" w:type="dxa"/>
              <w:bottom w:w="80" w:type="dxa"/>
              <w:end w:w="120" w:type="dxa"/>
            </w:tcMar>
            <w:vAlign w:val="top"/>
          </w:tcPr>
          <w:p>
            <w:pPr>
              <w:spacing w:after="0"/>
            </w:pPr>
            <w:r>
              <w:rPr>
                <w:rFonts w:ascii="Calibri" w:hAnsi="Calibri"/>
                <w:color w:val="141414"/>
              </w:rPr>
              <w:t>Top contributors to each Schur mode are reduced to compact source-to-receiver trees.</w:t>
            </w:r>
          </w:p>
        </w:tc>
        <w:tc>
          <w:tcPr>
            <w:tcW w:type="dxa" w:w="3910"/>
            <w:tcMar>
              <w:top w:w="80" w:type="dxa"/>
              <w:start w:w="120" w:type="dxa"/>
              <w:bottom w:w="80" w:type="dxa"/>
              <w:end w:w="120" w:type="dxa"/>
            </w:tcMar>
            <w:vAlign w:val="top"/>
          </w:tcPr>
          <w:p>
            <w:pPr>
              <w:spacing w:after="0"/>
            </w:pPr>
            <w:r>
              <w:rPr>
                <w:rFonts w:ascii="Calibri" w:hAnsi="Calibri"/>
                <w:color w:val="141414"/>
              </w:rPr>
              <w:t>This turns dense modal loadings into inspectable candidate subnetworks for advisor discussion.</w:t>
            </w:r>
          </w:p>
        </w:tc>
      </w:tr>
      <w:tr>
        <w:tc>
          <w:tcPr>
            <w:tcW w:type="dxa" w:w="1900"/>
            <w:tcMar>
              <w:top w:w="80" w:type="dxa"/>
              <w:start w:w="120" w:type="dxa"/>
              <w:bottom w:w="80" w:type="dxa"/>
              <w:end w:w="120" w:type="dxa"/>
            </w:tcMar>
            <w:vAlign w:val="top"/>
          </w:tcPr>
          <w:p>
            <w:pPr>
              <w:spacing w:after="0"/>
            </w:pPr>
            <w:r>
              <w:rPr>
                <w:rFonts w:ascii="Calibri" w:hAnsi="Calibri"/>
                <w:color w:val="141414"/>
              </w:rPr>
              <w:t>Inhibitory Schur complement</w:t>
            </w:r>
          </w:p>
        </w:tc>
        <w:tc>
          <w:tcPr>
            <w:tcW w:type="dxa" w:w="3550"/>
            <w:tcMar>
              <w:top w:w="80" w:type="dxa"/>
              <w:start w:w="120" w:type="dxa"/>
              <w:bottom w:w="80" w:type="dxa"/>
              <w:end w:w="120" w:type="dxa"/>
            </w:tcMar>
            <w:vAlign w:val="top"/>
          </w:tcPr>
          <w:p>
            <w:pPr>
              <w:spacing w:after="0"/>
            </w:pPr>
            <w:r>
              <w:rPr>
                <w:rFonts w:ascii="Calibri" w:hAnsi="Calibri"/>
                <w:color w:val="141414"/>
              </w:rPr>
              <w:t>The inhibitory block is eliminated to form an effective excitatory matrix.</w:t>
            </w:r>
          </w:p>
        </w:tc>
        <w:tc>
          <w:tcPr>
            <w:tcW w:type="dxa" w:w="3910"/>
            <w:tcMar>
              <w:top w:w="80" w:type="dxa"/>
              <w:start w:w="120" w:type="dxa"/>
              <w:bottom w:w="80" w:type="dxa"/>
              <w:end w:w="120" w:type="dxa"/>
            </w:tcMar>
            <w:vAlign w:val="top"/>
          </w:tcPr>
          <w:p>
            <w:pPr>
              <w:spacing w:after="0"/>
            </w:pPr>
            <w:r>
              <w:rPr>
                <w:rFonts w:ascii="Calibri" w:hAnsi="Calibri"/>
                <w:color w:val="141414"/>
              </w:rPr>
              <w:t>This separates direct excitatory recurrence from inhibitory feedback and chained disinhibitory effects.</w:t>
            </w:r>
          </w:p>
        </w:tc>
      </w:tr>
    </w:tbl>
    <w:p>
      <w:pPr>
        <w:spacing w:after="40"/>
      </w:pPr>
    </w:p>
    <w:p>
      <w:pPr>
        <w:pStyle w:val="Heading1"/>
        <w:spacing w:before="320" w:after="160"/>
      </w:pPr>
      <w:r>
        <w:rPr>
          <w:rFonts w:ascii="Calibri" w:hAnsi="Calibri"/>
          <w:b/>
          <w:color w:val="2E74B5"/>
          <w:sz w:val="32"/>
        </w:rPr>
        <w:t>Current Outputs and Interpretation</w:t>
      </w:r>
    </w:p>
    <w:p>
      <w:pPr>
        <w:pStyle w:val="Heading2"/>
        <w:spacing w:before="240" w:after="120"/>
      </w:pPr>
      <w:r>
        <w:rPr>
          <w:rFonts w:ascii="Calibri" w:hAnsi="Calibri"/>
          <w:b/>
          <w:color w:val="2E74B5"/>
          <w:sz w:val="26"/>
        </w:rPr>
        <w:t>Schur modes</w:t>
      </w:r>
    </w:p>
    <w:p>
      <w:pPr>
        <w:spacing w:before="0" w:after="120" w:line="264" w:lineRule="auto"/>
      </w:pPr>
      <w:r>
        <w:rPr>
          <w:rFonts w:ascii="Calibri" w:hAnsi="Calibri"/>
          <w:color w:val="141414"/>
        </w:rPr>
        <w:t>The saved Schur archive contains 85 modes from the normalized state matrix. The output tables summarize each mode by eigenvalue, dominant region, dominant cell type, loading magnitude, and the number of high-loading excitatory/inhibitory contributors.</w:t>
      </w:r>
    </w:p>
    <w:tbl>
      <w:tblPr>
        <w:tblStyle w:val="TableGrid"/>
        <w:tblW w:type="dxa" w:w="9360"/>
        <w:jc w:val="left"/>
        <w:tblLayout w:type="fixed"/>
        <w:tblLook w:firstColumn="1" w:firstRow="1" w:lastColumn="0" w:lastRow="0" w:noHBand="0" w:noVBand="1" w:val="04A0"/>
        <w:tblInd w:w="120" w:type="dxa"/>
      </w:tblPr>
      <w:tblGrid>
        <w:gridCol w:w="800"/>
        <w:gridCol w:w="1000"/>
        <w:gridCol w:w="3650"/>
        <w:gridCol w:w="1000"/>
        <w:gridCol w:w="800"/>
        <w:gridCol w:w="2110"/>
      </w:tblGrid>
      <w:tr>
        <w:tc>
          <w:tcPr>
            <w:tcW w:type="dxa" w:w="800"/>
            <w:shd w:fill="F2F4F7"/>
            <w:tcMar>
              <w:top w:w="80" w:type="dxa"/>
              <w:start w:w="120" w:type="dxa"/>
              <w:bottom w:w="80" w:type="dxa"/>
              <w:end w:w="120" w:type="dxa"/>
            </w:tcMar>
            <w:vAlign w:val="top"/>
          </w:tcPr>
          <w:p>
            <w:pPr>
              <w:spacing w:after="0"/>
            </w:pPr>
            <w:r>
              <w:rPr>
                <w:rFonts w:ascii="Calibri" w:hAnsi="Calibri"/>
                <w:b/>
                <w:color w:val="141414"/>
              </w:rPr>
              <w:t>Mode</w:t>
            </w:r>
          </w:p>
        </w:tc>
        <w:tc>
          <w:tcPr>
            <w:tcW w:type="dxa" w:w="1000"/>
            <w:shd w:fill="F2F4F7"/>
            <w:tcMar>
              <w:top w:w="80" w:type="dxa"/>
              <w:start w:w="120" w:type="dxa"/>
              <w:bottom w:w="80" w:type="dxa"/>
              <w:end w:w="120" w:type="dxa"/>
            </w:tcMar>
            <w:vAlign w:val="top"/>
          </w:tcPr>
          <w:p>
            <w:pPr>
              <w:spacing w:after="0"/>
            </w:pPr>
            <w:r>
              <w:rPr>
                <w:rFonts w:ascii="Calibri" w:hAnsi="Calibri"/>
                <w:b/>
                <w:color w:val="141414"/>
              </w:rPr>
              <w:t>|lambda|</w:t>
            </w:r>
          </w:p>
        </w:tc>
        <w:tc>
          <w:tcPr>
            <w:tcW w:type="dxa" w:w="3650"/>
            <w:shd w:fill="F2F4F7"/>
            <w:tcMar>
              <w:top w:w="80" w:type="dxa"/>
              <w:start w:w="120" w:type="dxa"/>
              <w:bottom w:w="80" w:type="dxa"/>
              <w:end w:w="120" w:type="dxa"/>
            </w:tcMar>
            <w:vAlign w:val="top"/>
          </w:tcPr>
          <w:p>
            <w:pPr>
              <w:spacing w:after="0"/>
            </w:pPr>
            <w:r>
              <w:rPr>
                <w:rFonts w:ascii="Calibri" w:hAnsi="Calibri"/>
                <w:b/>
                <w:color w:val="141414"/>
              </w:rPr>
              <w:t>Dominant cell type</w:t>
            </w:r>
          </w:p>
        </w:tc>
        <w:tc>
          <w:tcPr>
            <w:tcW w:type="dxa" w:w="1000"/>
            <w:shd w:fill="F2F4F7"/>
            <w:tcMar>
              <w:top w:w="80" w:type="dxa"/>
              <w:start w:w="120" w:type="dxa"/>
              <w:bottom w:w="80" w:type="dxa"/>
              <w:end w:w="120" w:type="dxa"/>
            </w:tcMar>
            <w:vAlign w:val="top"/>
          </w:tcPr>
          <w:p>
            <w:pPr>
              <w:spacing w:after="0"/>
            </w:pPr>
            <w:r>
              <w:rPr>
                <w:rFonts w:ascii="Calibri" w:hAnsi="Calibri"/>
                <w:b/>
                <w:color w:val="141414"/>
              </w:rPr>
              <w:t>Region</w:t>
            </w:r>
          </w:p>
        </w:tc>
        <w:tc>
          <w:tcPr>
            <w:tcW w:type="dxa" w:w="800"/>
            <w:shd w:fill="F2F4F7"/>
            <w:tcMar>
              <w:top w:w="80" w:type="dxa"/>
              <w:start w:w="120" w:type="dxa"/>
              <w:bottom w:w="80" w:type="dxa"/>
              <w:end w:w="120" w:type="dxa"/>
            </w:tcMar>
            <w:vAlign w:val="top"/>
          </w:tcPr>
          <w:p>
            <w:pPr>
              <w:spacing w:after="0"/>
            </w:pPr>
            <w:r>
              <w:rPr>
                <w:rFonts w:ascii="Calibri" w:hAnsi="Calibri"/>
                <w:b/>
                <w:color w:val="141414"/>
              </w:rPr>
              <w:t>E/I</w:t>
            </w:r>
          </w:p>
        </w:tc>
        <w:tc>
          <w:tcPr>
            <w:tcW w:type="dxa" w:w="2110"/>
            <w:shd w:fill="F2F4F7"/>
            <w:tcMar>
              <w:top w:w="80" w:type="dxa"/>
              <w:start w:w="120" w:type="dxa"/>
              <w:bottom w:w="80" w:type="dxa"/>
              <w:end w:w="120" w:type="dxa"/>
            </w:tcMar>
            <w:vAlign w:val="top"/>
          </w:tcPr>
          <w:p>
            <w:pPr>
              <w:spacing w:after="0"/>
            </w:pPr>
            <w:r>
              <w:rPr>
                <w:rFonts w:ascii="Calibri" w:hAnsi="Calibri"/>
                <w:b/>
                <w:color w:val="141414"/>
              </w:rPr>
              <w:t>Tree edges</w:t>
            </w:r>
          </w:p>
        </w:tc>
      </w:tr>
      <w:tr>
        <w:tc>
          <w:tcPr>
            <w:tcW w:type="dxa" w:w="800"/>
            <w:tcMar>
              <w:top w:w="80" w:type="dxa"/>
              <w:start w:w="120" w:type="dxa"/>
              <w:bottom w:w="80" w:type="dxa"/>
              <w:end w:w="120" w:type="dxa"/>
            </w:tcMar>
            <w:vAlign w:val="top"/>
          </w:tcPr>
          <w:p>
            <w:pPr>
              <w:spacing w:after="0"/>
            </w:pPr>
            <w:r>
              <w:rPr>
                <w:rFonts w:ascii="Calibri" w:hAnsi="Calibri"/>
                <w:color w:val="141414"/>
              </w:rPr>
              <w:t>0</w:t>
            </w:r>
          </w:p>
        </w:tc>
        <w:tc>
          <w:tcPr>
            <w:tcW w:type="dxa" w:w="1000"/>
            <w:tcMar>
              <w:top w:w="80" w:type="dxa"/>
              <w:start w:w="120" w:type="dxa"/>
              <w:bottom w:w="80" w:type="dxa"/>
              <w:end w:w="120" w:type="dxa"/>
            </w:tcMar>
            <w:vAlign w:val="top"/>
          </w:tcPr>
          <w:p>
            <w:pPr>
              <w:spacing w:after="0"/>
            </w:pPr>
            <w:r>
              <w:rPr>
                <w:rFonts w:ascii="Calibri" w:hAnsi="Calibri"/>
                <w:color w:val="141414"/>
              </w:rPr>
              <w:t>0.950</w:t>
            </w:r>
          </w:p>
        </w:tc>
        <w:tc>
          <w:tcPr>
            <w:tcW w:type="dxa" w:w="3650"/>
            <w:tcMar>
              <w:top w:w="80" w:type="dxa"/>
              <w:start w:w="120" w:type="dxa"/>
              <w:bottom w:w="80" w:type="dxa"/>
              <w:end w:w="120" w:type="dxa"/>
            </w:tcMar>
            <w:vAlign w:val="top"/>
          </w:tcPr>
          <w:p>
            <w:pPr>
              <w:spacing w:after="0"/>
            </w:pPr>
            <w:r>
              <w:rPr>
                <w:rFonts w:ascii="Calibri" w:hAnsi="Calibri"/>
                <w:color w:val="141414"/>
              </w:rPr>
              <w:t>MEC LIII Superficial Multipolar Interneuron</w:t>
            </w:r>
          </w:p>
        </w:tc>
        <w:tc>
          <w:tcPr>
            <w:tcW w:type="dxa" w:w="1000"/>
            <w:tcMar>
              <w:top w:w="80" w:type="dxa"/>
              <w:start w:w="120" w:type="dxa"/>
              <w:bottom w:w="80" w:type="dxa"/>
              <w:end w:w="120" w:type="dxa"/>
            </w:tcMar>
            <w:vAlign w:val="top"/>
          </w:tcPr>
          <w:p>
            <w:pPr>
              <w:spacing w:after="0"/>
            </w:pPr>
            <w:r>
              <w:rPr>
                <w:rFonts w:ascii="Calibri" w:hAnsi="Calibri"/>
                <w:color w:val="141414"/>
              </w:rPr>
              <w:t>MEC</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5</w:t>
            </w:r>
          </w:p>
        </w:tc>
      </w:tr>
      <w:tr>
        <w:tc>
          <w:tcPr>
            <w:tcW w:type="dxa" w:w="800"/>
            <w:tcMar>
              <w:top w:w="80" w:type="dxa"/>
              <w:start w:w="120" w:type="dxa"/>
              <w:bottom w:w="80" w:type="dxa"/>
              <w:end w:w="120" w:type="dxa"/>
            </w:tcMar>
            <w:vAlign w:val="top"/>
          </w:tcPr>
          <w:p>
            <w:pPr>
              <w:spacing w:after="0"/>
            </w:pPr>
            <w:r>
              <w:rPr>
                <w:rFonts w:ascii="Calibri" w:hAnsi="Calibri"/>
                <w:color w:val="141414"/>
              </w:rPr>
              <w:t>1</w:t>
            </w:r>
          </w:p>
        </w:tc>
        <w:tc>
          <w:tcPr>
            <w:tcW w:type="dxa" w:w="1000"/>
            <w:tcMar>
              <w:top w:w="80" w:type="dxa"/>
              <w:start w:w="120" w:type="dxa"/>
              <w:bottom w:w="80" w:type="dxa"/>
              <w:end w:w="120" w:type="dxa"/>
            </w:tcMar>
            <w:vAlign w:val="top"/>
          </w:tcPr>
          <w:p>
            <w:pPr>
              <w:spacing w:after="0"/>
            </w:pPr>
            <w:r>
              <w:rPr>
                <w:rFonts w:ascii="Calibri" w:hAnsi="Calibri"/>
                <w:color w:val="141414"/>
              </w:rPr>
              <w:t>0.370</w:t>
            </w:r>
          </w:p>
        </w:tc>
        <w:tc>
          <w:tcPr>
            <w:tcW w:type="dxa" w:w="3650"/>
            <w:tcMar>
              <w:top w:w="80" w:type="dxa"/>
              <w:start w:w="120" w:type="dxa"/>
              <w:bottom w:w="80" w:type="dxa"/>
              <w:end w:w="120" w:type="dxa"/>
            </w:tcMar>
            <w:vAlign w:val="top"/>
          </w:tcPr>
          <w:p>
            <w:pPr>
              <w:spacing w:after="0"/>
            </w:pPr>
            <w:r>
              <w:rPr>
                <w:rFonts w:ascii="Calibri" w:hAnsi="Calibri"/>
                <w:color w:val="141414"/>
              </w:rPr>
              <w:t>MEC LIII Superficial Multipolar Interneuron</w:t>
            </w:r>
          </w:p>
        </w:tc>
        <w:tc>
          <w:tcPr>
            <w:tcW w:type="dxa" w:w="1000"/>
            <w:tcMar>
              <w:top w:w="80" w:type="dxa"/>
              <w:start w:w="120" w:type="dxa"/>
              <w:bottom w:w="80" w:type="dxa"/>
              <w:end w:w="120" w:type="dxa"/>
            </w:tcMar>
            <w:vAlign w:val="top"/>
          </w:tcPr>
          <w:p>
            <w:pPr>
              <w:spacing w:after="0"/>
            </w:pPr>
            <w:r>
              <w:rPr>
                <w:rFonts w:ascii="Calibri" w:hAnsi="Calibri"/>
                <w:color w:val="141414"/>
              </w:rPr>
              <w:t>MEC</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4</w:t>
            </w:r>
          </w:p>
        </w:tc>
      </w:tr>
      <w:tr>
        <w:tc>
          <w:tcPr>
            <w:tcW w:type="dxa" w:w="800"/>
            <w:tcMar>
              <w:top w:w="80" w:type="dxa"/>
              <w:start w:w="120" w:type="dxa"/>
              <w:bottom w:w="80" w:type="dxa"/>
              <w:end w:w="120" w:type="dxa"/>
            </w:tcMar>
            <w:vAlign w:val="top"/>
          </w:tcPr>
          <w:p>
            <w:pPr>
              <w:spacing w:after="0"/>
            </w:pPr>
            <w:r>
              <w:rPr>
                <w:rFonts w:ascii="Calibri" w:hAnsi="Calibri"/>
                <w:color w:val="141414"/>
              </w:rPr>
              <w:t>2</w:t>
            </w:r>
          </w:p>
        </w:tc>
        <w:tc>
          <w:tcPr>
            <w:tcW w:type="dxa" w:w="1000"/>
            <w:tcMar>
              <w:top w:w="80" w:type="dxa"/>
              <w:start w:w="120" w:type="dxa"/>
              <w:bottom w:w="80" w:type="dxa"/>
              <w:end w:w="120" w:type="dxa"/>
            </w:tcMar>
            <w:vAlign w:val="top"/>
          </w:tcPr>
          <w:p>
            <w:pPr>
              <w:spacing w:after="0"/>
            </w:pPr>
            <w:r>
              <w:rPr>
                <w:rFonts w:ascii="Calibri" w:hAnsi="Calibri"/>
                <w:color w:val="141414"/>
              </w:rPr>
              <w:t>0.311</w:t>
            </w:r>
          </w:p>
        </w:tc>
        <w:tc>
          <w:tcPr>
            <w:tcW w:type="dxa" w:w="3650"/>
            <w:tcMar>
              <w:top w:w="80" w:type="dxa"/>
              <w:start w:w="120" w:type="dxa"/>
              <w:bottom w:w="80" w:type="dxa"/>
              <w:end w:w="120" w:type="dxa"/>
            </w:tcMar>
            <w:vAlign w:val="top"/>
          </w:tcPr>
          <w:p>
            <w:pPr>
              <w:spacing w:after="0"/>
            </w:pPr>
            <w:r>
              <w:rPr>
                <w:rFonts w:ascii="Calibri" w:hAnsi="Calibri"/>
                <w:color w:val="141414"/>
              </w:rPr>
              <w:t>DG AIPRIM</w:t>
            </w:r>
          </w:p>
        </w:tc>
        <w:tc>
          <w:tcPr>
            <w:tcW w:type="dxa" w:w="1000"/>
            <w:tcMar>
              <w:top w:w="80" w:type="dxa"/>
              <w:start w:w="120" w:type="dxa"/>
              <w:bottom w:w="80" w:type="dxa"/>
              <w:end w:w="120" w:type="dxa"/>
            </w:tcMar>
            <w:vAlign w:val="top"/>
          </w:tcPr>
          <w:p>
            <w:pPr>
              <w:spacing w:after="0"/>
            </w:pPr>
            <w:r>
              <w:rPr>
                <w:rFonts w:ascii="Calibri" w:hAnsi="Calibri"/>
                <w:color w:val="141414"/>
              </w:rPr>
              <w:t>DG</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4</w:t>
            </w:r>
          </w:p>
        </w:tc>
      </w:tr>
      <w:tr>
        <w:tc>
          <w:tcPr>
            <w:tcW w:type="dxa" w:w="800"/>
            <w:tcMar>
              <w:top w:w="80" w:type="dxa"/>
              <w:start w:w="120" w:type="dxa"/>
              <w:bottom w:w="80" w:type="dxa"/>
              <w:end w:w="120" w:type="dxa"/>
            </w:tcMar>
            <w:vAlign w:val="top"/>
          </w:tcPr>
          <w:p>
            <w:pPr>
              <w:spacing w:after="0"/>
            </w:pPr>
            <w:r>
              <w:rPr>
                <w:rFonts w:ascii="Calibri" w:hAnsi="Calibri"/>
                <w:color w:val="141414"/>
              </w:rPr>
              <w:t>3</w:t>
            </w:r>
          </w:p>
        </w:tc>
        <w:tc>
          <w:tcPr>
            <w:tcW w:type="dxa" w:w="1000"/>
            <w:tcMar>
              <w:top w:w="80" w:type="dxa"/>
              <w:start w:w="120" w:type="dxa"/>
              <w:bottom w:w="80" w:type="dxa"/>
              <w:end w:w="120" w:type="dxa"/>
            </w:tcMar>
            <w:vAlign w:val="top"/>
          </w:tcPr>
          <w:p>
            <w:pPr>
              <w:spacing w:after="0"/>
            </w:pPr>
            <w:r>
              <w:rPr>
                <w:rFonts w:ascii="Calibri" w:hAnsi="Calibri"/>
                <w:color w:val="141414"/>
              </w:rPr>
              <w:t>0.311</w:t>
            </w:r>
          </w:p>
        </w:tc>
        <w:tc>
          <w:tcPr>
            <w:tcW w:type="dxa" w:w="3650"/>
            <w:tcMar>
              <w:top w:w="80" w:type="dxa"/>
              <w:start w:w="120" w:type="dxa"/>
              <w:bottom w:w="80" w:type="dxa"/>
              <w:end w:w="120" w:type="dxa"/>
            </w:tcMar>
            <w:vAlign w:val="top"/>
          </w:tcPr>
          <w:p>
            <w:pPr>
              <w:spacing w:after="0"/>
            </w:pPr>
            <w:r>
              <w:rPr>
                <w:rFonts w:ascii="Calibri" w:hAnsi="Calibri"/>
                <w:color w:val="141414"/>
              </w:rPr>
              <w:t>CA1 Trilaminar</w:t>
            </w:r>
          </w:p>
        </w:tc>
        <w:tc>
          <w:tcPr>
            <w:tcW w:type="dxa" w:w="1000"/>
            <w:tcMar>
              <w:top w:w="80" w:type="dxa"/>
              <w:start w:w="120" w:type="dxa"/>
              <w:bottom w:w="80" w:type="dxa"/>
              <w:end w:w="120" w:type="dxa"/>
            </w:tcMar>
            <w:vAlign w:val="top"/>
          </w:tcPr>
          <w:p>
            <w:pPr>
              <w:spacing w:after="0"/>
            </w:pPr>
            <w:r>
              <w:rPr>
                <w:rFonts w:ascii="Calibri" w:hAnsi="Calibri"/>
                <w:color w:val="141414"/>
              </w:rPr>
              <w:t>CA1</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6</w:t>
            </w:r>
          </w:p>
        </w:tc>
      </w:tr>
      <w:tr>
        <w:tc>
          <w:tcPr>
            <w:tcW w:type="dxa" w:w="800"/>
            <w:tcMar>
              <w:top w:w="80" w:type="dxa"/>
              <w:start w:w="120" w:type="dxa"/>
              <w:bottom w:w="80" w:type="dxa"/>
              <w:end w:w="120" w:type="dxa"/>
            </w:tcMar>
            <w:vAlign w:val="top"/>
          </w:tcPr>
          <w:p>
            <w:pPr>
              <w:spacing w:after="0"/>
            </w:pPr>
            <w:r>
              <w:rPr>
                <w:rFonts w:ascii="Calibri" w:hAnsi="Calibri"/>
                <w:color w:val="141414"/>
              </w:rPr>
              <w:t>4</w:t>
            </w:r>
          </w:p>
        </w:tc>
        <w:tc>
          <w:tcPr>
            <w:tcW w:type="dxa" w:w="1000"/>
            <w:tcMar>
              <w:top w:w="80" w:type="dxa"/>
              <w:start w:w="120" w:type="dxa"/>
              <w:bottom w:w="80" w:type="dxa"/>
              <w:end w:w="120" w:type="dxa"/>
            </w:tcMar>
            <w:vAlign w:val="top"/>
          </w:tcPr>
          <w:p>
            <w:pPr>
              <w:spacing w:after="0"/>
            </w:pPr>
            <w:r>
              <w:rPr>
                <w:rFonts w:ascii="Calibri" w:hAnsi="Calibri"/>
                <w:color w:val="141414"/>
              </w:rPr>
              <w:t>0.310</w:t>
            </w:r>
          </w:p>
        </w:tc>
        <w:tc>
          <w:tcPr>
            <w:tcW w:type="dxa" w:w="3650"/>
            <w:tcMar>
              <w:top w:w="80" w:type="dxa"/>
              <w:start w:w="120" w:type="dxa"/>
              <w:bottom w:w="80" w:type="dxa"/>
              <w:end w:w="120" w:type="dxa"/>
            </w:tcMar>
            <w:vAlign w:val="top"/>
          </w:tcPr>
          <w:p>
            <w:pPr>
              <w:spacing w:after="0"/>
            </w:pPr>
            <w:r>
              <w:rPr>
                <w:rFonts w:ascii="Calibri" w:hAnsi="Calibri"/>
                <w:color w:val="141414"/>
              </w:rPr>
              <w:t>DG HICAP</w:t>
            </w:r>
          </w:p>
        </w:tc>
        <w:tc>
          <w:tcPr>
            <w:tcW w:type="dxa" w:w="1000"/>
            <w:tcMar>
              <w:top w:w="80" w:type="dxa"/>
              <w:start w:w="120" w:type="dxa"/>
              <w:bottom w:w="80" w:type="dxa"/>
              <w:end w:w="120" w:type="dxa"/>
            </w:tcMar>
            <w:vAlign w:val="top"/>
          </w:tcPr>
          <w:p>
            <w:pPr>
              <w:spacing w:after="0"/>
            </w:pPr>
            <w:r>
              <w:rPr>
                <w:rFonts w:ascii="Calibri" w:hAnsi="Calibri"/>
                <w:color w:val="141414"/>
              </w:rPr>
              <w:t>DG</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5</w:t>
            </w:r>
          </w:p>
        </w:tc>
      </w:tr>
      <w:tr>
        <w:tc>
          <w:tcPr>
            <w:tcW w:type="dxa" w:w="800"/>
            <w:tcMar>
              <w:top w:w="80" w:type="dxa"/>
              <w:start w:w="120" w:type="dxa"/>
              <w:bottom w:w="80" w:type="dxa"/>
              <w:end w:w="120" w:type="dxa"/>
            </w:tcMar>
            <w:vAlign w:val="top"/>
          </w:tcPr>
          <w:p>
            <w:pPr>
              <w:spacing w:after="0"/>
            </w:pPr>
            <w:r>
              <w:rPr>
                <w:rFonts w:ascii="Calibri" w:hAnsi="Calibri"/>
                <w:color w:val="141414"/>
              </w:rPr>
              <w:t>5</w:t>
            </w:r>
          </w:p>
        </w:tc>
        <w:tc>
          <w:tcPr>
            <w:tcW w:type="dxa" w:w="1000"/>
            <w:tcMar>
              <w:top w:w="80" w:type="dxa"/>
              <w:start w:w="120" w:type="dxa"/>
              <w:bottom w:w="80" w:type="dxa"/>
              <w:end w:w="120" w:type="dxa"/>
            </w:tcMar>
            <w:vAlign w:val="top"/>
          </w:tcPr>
          <w:p>
            <w:pPr>
              <w:spacing w:after="0"/>
            </w:pPr>
            <w:r>
              <w:rPr>
                <w:rFonts w:ascii="Calibri" w:hAnsi="Calibri"/>
                <w:color w:val="141414"/>
              </w:rPr>
              <w:t>0.182</w:t>
            </w:r>
          </w:p>
        </w:tc>
        <w:tc>
          <w:tcPr>
            <w:tcW w:type="dxa" w:w="3650"/>
            <w:tcMar>
              <w:top w:w="80" w:type="dxa"/>
              <w:start w:w="120" w:type="dxa"/>
              <w:bottom w:w="80" w:type="dxa"/>
              <w:end w:w="120" w:type="dxa"/>
            </w:tcMar>
            <w:vAlign w:val="top"/>
          </w:tcPr>
          <w:p>
            <w:pPr>
              <w:spacing w:after="0"/>
            </w:pPr>
            <w:r>
              <w:rPr>
                <w:rFonts w:ascii="Calibri" w:hAnsi="Calibri"/>
                <w:color w:val="141414"/>
              </w:rPr>
              <w:t>CA1 Perforant Path Associated</w:t>
            </w:r>
          </w:p>
        </w:tc>
        <w:tc>
          <w:tcPr>
            <w:tcW w:type="dxa" w:w="1000"/>
            <w:tcMar>
              <w:top w:w="80" w:type="dxa"/>
              <w:start w:w="120" w:type="dxa"/>
              <w:bottom w:w="80" w:type="dxa"/>
              <w:end w:w="120" w:type="dxa"/>
            </w:tcMar>
            <w:vAlign w:val="top"/>
          </w:tcPr>
          <w:p>
            <w:pPr>
              <w:spacing w:after="0"/>
            </w:pPr>
            <w:r>
              <w:rPr>
                <w:rFonts w:ascii="Calibri" w:hAnsi="Calibri"/>
                <w:color w:val="141414"/>
              </w:rPr>
              <w:t>CA1</w:t>
            </w:r>
          </w:p>
        </w:tc>
        <w:tc>
          <w:tcPr>
            <w:tcW w:type="dxa" w:w="800"/>
            <w:tcMar>
              <w:top w:w="80" w:type="dxa"/>
              <w:start w:w="120" w:type="dxa"/>
              <w:bottom w:w="80" w:type="dxa"/>
              <w:end w:w="120" w:type="dxa"/>
            </w:tcMar>
            <w:vAlign w:val="top"/>
          </w:tcPr>
          <w:p>
            <w:pPr>
              <w:spacing w:after="0"/>
            </w:pPr>
            <w:r>
              <w:rPr>
                <w:rFonts w:ascii="Calibri" w:hAnsi="Calibri"/>
                <w:color w:val="141414"/>
              </w:rPr>
              <w:t>I</w:t>
            </w:r>
          </w:p>
        </w:tc>
        <w:tc>
          <w:tcPr>
            <w:tcW w:type="dxa" w:w="2110"/>
            <w:tcMar>
              <w:top w:w="80" w:type="dxa"/>
              <w:start w:w="120" w:type="dxa"/>
              <w:bottom w:w="80" w:type="dxa"/>
              <w:end w:w="120" w:type="dxa"/>
            </w:tcMar>
            <w:vAlign w:val="top"/>
          </w:tcPr>
          <w:p>
            <w:pPr>
              <w:spacing w:after="0"/>
            </w:pPr>
            <w:r>
              <w:rPr>
                <w:rFonts w:ascii="Calibri" w:hAnsi="Calibri"/>
                <w:color w:val="141414"/>
              </w:rPr>
              <w:t>4</w:t>
            </w:r>
          </w:p>
        </w:tc>
      </w:tr>
    </w:tbl>
    <w:p>
      <w:pPr>
        <w:spacing w:after="40"/>
      </w:pPr>
    </w:p>
    <w:p>
      <w:pPr>
        <w:spacing w:before="0" w:after="120" w:line="264" w:lineRule="auto"/>
      </w:pPr>
      <w:r>
        <w:rPr>
          <w:rFonts w:ascii="Calibri" w:hAnsi="Calibri"/>
          <w:color w:val="141414"/>
        </w:rPr>
        <w:t>A recurring pattern in the saved summaries is that many high-loading modes are dominated by CA1 and inhibitory cell classes. That does not mean the network is purely inhibitory; rather, inhibitory classes often have large modal participation in the normalized dynamics.</w:t>
      </w:r>
    </w:p>
    <w:p>
      <w:pPr>
        <w:pStyle w:val="Heading2"/>
        <w:spacing w:before="240" w:after="120"/>
      </w:pPr>
      <w:r>
        <w:rPr>
          <w:rFonts w:ascii="Calibri" w:hAnsi="Calibri"/>
          <w:b/>
          <w:color w:val="2E74B5"/>
          <w:sz w:val="26"/>
        </w:rPr>
        <w:t>Self-connection comparison</w:t>
      </w:r>
    </w:p>
    <w:tbl>
      <w:tblPr>
        <w:tblStyle w:val="TableGrid"/>
        <w:tblW w:type="dxa" w:w="9360"/>
        <w:jc w:val="left"/>
        <w:tblLayout w:type="fixed"/>
        <w:tblLook w:firstColumn="1" w:firstRow="1" w:lastColumn="0" w:lastRow="0" w:noHBand="0" w:noVBand="1" w:val="04A0"/>
        <w:tblInd w:w="120" w:type="dxa"/>
      </w:tblPr>
      <w:tblGrid>
        <w:gridCol w:w="1500"/>
        <w:gridCol w:w="2300"/>
        <w:gridCol w:w="1800"/>
        <w:gridCol w:w="1800"/>
        <w:gridCol w:w="1960"/>
      </w:tblGrid>
      <w:tr>
        <w:tc>
          <w:tcPr>
            <w:tcW w:type="dxa" w:w="15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2300"/>
            <w:shd w:fill="F2F4F7"/>
            <w:tcMar>
              <w:top w:w="80" w:type="dxa"/>
              <w:start w:w="120" w:type="dxa"/>
              <w:bottom w:w="80" w:type="dxa"/>
              <w:end w:w="120" w:type="dxa"/>
            </w:tcMar>
            <w:vAlign w:val="top"/>
          </w:tcPr>
          <w:p>
            <w:pPr>
              <w:spacing w:after="0"/>
            </w:pPr>
            <w:r>
              <w:rPr>
                <w:rFonts w:ascii="Calibri" w:hAnsi="Calibri"/>
                <w:b/>
                <w:color w:val="141414"/>
              </w:rPr>
              <w:t>Raw spectral radius</w:t>
            </w:r>
          </w:p>
        </w:tc>
        <w:tc>
          <w:tcPr>
            <w:tcW w:type="dxa" w:w="1800"/>
            <w:shd w:fill="F2F4F7"/>
            <w:tcMar>
              <w:top w:w="80" w:type="dxa"/>
              <w:start w:w="120" w:type="dxa"/>
              <w:bottom w:w="80" w:type="dxa"/>
              <w:end w:w="120" w:type="dxa"/>
            </w:tcMar>
            <w:vAlign w:val="top"/>
          </w:tcPr>
          <w:p>
            <w:pPr>
              <w:spacing w:after="0"/>
            </w:pPr>
            <w:r>
              <w:rPr>
                <w:rFonts w:ascii="Calibri" w:hAnsi="Calibri"/>
                <w:b/>
                <w:color w:val="141414"/>
              </w:rPr>
              <w:t>Achieved radius</w:t>
            </w:r>
          </w:p>
        </w:tc>
        <w:tc>
          <w:tcPr>
            <w:tcW w:type="dxa" w:w="1800"/>
            <w:shd w:fill="F2F4F7"/>
            <w:tcMar>
              <w:top w:w="80" w:type="dxa"/>
              <w:start w:w="120" w:type="dxa"/>
              <w:bottom w:w="80" w:type="dxa"/>
              <w:end w:w="120" w:type="dxa"/>
            </w:tcMar>
            <w:vAlign w:val="top"/>
          </w:tcPr>
          <w:p>
            <w:pPr>
              <w:spacing w:after="0"/>
            </w:pPr>
            <w:r>
              <w:rPr>
                <w:rFonts w:ascii="Calibri" w:hAnsi="Calibri"/>
                <w:b/>
                <w:color w:val="141414"/>
              </w:rPr>
              <w:t>Frobenius norm</w:t>
            </w:r>
          </w:p>
        </w:tc>
        <w:tc>
          <w:tcPr>
            <w:tcW w:type="dxa" w:w="1960"/>
            <w:shd w:fill="F2F4F7"/>
            <w:tcMar>
              <w:top w:w="80" w:type="dxa"/>
              <w:start w:w="120" w:type="dxa"/>
              <w:bottom w:w="80" w:type="dxa"/>
              <w:end w:w="120" w:type="dxa"/>
            </w:tcMar>
            <w:vAlign w:val="top"/>
          </w:tcPr>
          <w:p>
            <w:pPr>
              <w:spacing w:after="0"/>
            </w:pPr>
            <w:r>
              <w:rPr>
                <w:rFonts w:ascii="Calibri" w:hAnsi="Calibri"/>
                <w:b/>
                <w:color w:val="141414"/>
              </w:rPr>
              <w:t>Non-normality</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2300"/>
            <w:tcMar>
              <w:top w:w="80" w:type="dxa"/>
              <w:start w:w="120" w:type="dxa"/>
              <w:bottom w:w="80" w:type="dxa"/>
              <w:end w:w="120" w:type="dxa"/>
            </w:tcMar>
            <w:vAlign w:val="top"/>
          </w:tcPr>
          <w:p>
            <w:pPr>
              <w:spacing w:after="0"/>
            </w:pPr>
            <w:r>
              <w:rPr>
                <w:rFonts w:ascii="Calibri" w:hAnsi="Calibri"/>
                <w:color w:val="141414"/>
              </w:rPr>
              <w:t>26,213.1</w:t>
            </w:r>
          </w:p>
        </w:tc>
        <w:tc>
          <w:tcPr>
            <w:tcW w:type="dxa" w:w="1800"/>
            <w:tcMar>
              <w:top w:w="80" w:type="dxa"/>
              <w:start w:w="120" w:type="dxa"/>
              <w:bottom w:w="80" w:type="dxa"/>
              <w:end w:w="120" w:type="dxa"/>
            </w:tcMar>
            <w:vAlign w:val="top"/>
          </w:tcPr>
          <w:p>
            <w:pPr>
              <w:spacing w:after="0"/>
            </w:pPr>
            <w:r>
              <w:rPr>
                <w:rFonts w:ascii="Calibri" w:hAnsi="Calibri"/>
                <w:color w:val="141414"/>
              </w:rPr>
              <w:t>0.95</w:t>
            </w:r>
          </w:p>
        </w:tc>
        <w:tc>
          <w:tcPr>
            <w:tcW w:type="dxa" w:w="1800"/>
            <w:tcMar>
              <w:top w:w="80" w:type="dxa"/>
              <w:start w:w="120" w:type="dxa"/>
              <w:bottom w:w="80" w:type="dxa"/>
              <w:end w:w="120" w:type="dxa"/>
            </w:tcMar>
            <w:vAlign w:val="top"/>
          </w:tcPr>
          <w:p>
            <w:pPr>
              <w:spacing w:after="0"/>
            </w:pPr>
            <w:r>
              <w:rPr>
                <w:rFonts w:ascii="Calibri" w:hAnsi="Calibri"/>
                <w:color w:val="141414"/>
              </w:rPr>
              <w:t>77.2</w:t>
            </w:r>
          </w:p>
        </w:tc>
        <w:tc>
          <w:tcPr>
            <w:tcW w:type="dxa" w:w="1960"/>
            <w:tcMar>
              <w:top w:w="80" w:type="dxa"/>
              <w:start w:w="120" w:type="dxa"/>
              <w:bottom w:w="80" w:type="dxa"/>
              <w:end w:w="120" w:type="dxa"/>
            </w:tcMar>
            <w:vAlign w:val="top"/>
          </w:tcPr>
          <w:p>
            <w:pPr>
              <w:spacing w:after="0"/>
            </w:pPr>
            <w:r>
              <w:rPr>
                <w:rFonts w:ascii="Calibri" w:hAnsi="Calibri"/>
                <w:color w:val="141414"/>
              </w:rPr>
              <w:t>5,869.9</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2300"/>
            <w:tcMar>
              <w:top w:w="80" w:type="dxa"/>
              <w:start w:w="120" w:type="dxa"/>
              <w:bottom w:w="80" w:type="dxa"/>
              <w:end w:w="120" w:type="dxa"/>
            </w:tcMar>
            <w:vAlign w:val="top"/>
          </w:tcPr>
          <w:p>
            <w:pPr>
              <w:spacing w:after="0"/>
            </w:pPr>
            <w:r>
              <w:rPr>
                <w:rFonts w:ascii="Calibri" w:hAnsi="Calibri"/>
                <w:color w:val="141414"/>
              </w:rPr>
              <w:t>14,837.9</w:t>
            </w:r>
          </w:p>
        </w:tc>
        <w:tc>
          <w:tcPr>
            <w:tcW w:type="dxa" w:w="1800"/>
            <w:tcMar>
              <w:top w:w="80" w:type="dxa"/>
              <w:start w:w="120" w:type="dxa"/>
              <w:bottom w:w="80" w:type="dxa"/>
              <w:end w:w="120" w:type="dxa"/>
            </w:tcMar>
            <w:vAlign w:val="top"/>
          </w:tcPr>
          <w:p>
            <w:pPr>
              <w:spacing w:after="0"/>
            </w:pPr>
            <w:r>
              <w:rPr>
                <w:rFonts w:ascii="Calibri" w:hAnsi="Calibri"/>
                <w:color w:val="141414"/>
              </w:rPr>
              <w:t>0.95</w:t>
            </w:r>
          </w:p>
        </w:tc>
        <w:tc>
          <w:tcPr>
            <w:tcW w:type="dxa" w:w="1800"/>
            <w:tcMar>
              <w:top w:w="80" w:type="dxa"/>
              <w:start w:w="120" w:type="dxa"/>
              <w:bottom w:w="80" w:type="dxa"/>
              <w:end w:w="120" w:type="dxa"/>
            </w:tcMar>
            <w:vAlign w:val="top"/>
          </w:tcPr>
          <w:p>
            <w:pPr>
              <w:spacing w:after="0"/>
            </w:pPr>
            <w:r>
              <w:rPr>
                <w:rFonts w:ascii="Calibri" w:hAnsi="Calibri"/>
                <w:color w:val="141414"/>
              </w:rPr>
              <w:t>136.3</w:t>
            </w:r>
          </w:p>
        </w:tc>
        <w:tc>
          <w:tcPr>
            <w:tcW w:type="dxa" w:w="1960"/>
            <w:tcMar>
              <w:top w:w="80" w:type="dxa"/>
              <w:start w:w="120" w:type="dxa"/>
              <w:bottom w:w="80" w:type="dxa"/>
              <w:end w:w="120" w:type="dxa"/>
            </w:tcMar>
            <w:vAlign w:val="top"/>
          </w:tcPr>
          <w:p>
            <w:pPr>
              <w:spacing w:after="0"/>
            </w:pPr>
            <w:r>
              <w:rPr>
                <w:rFonts w:ascii="Calibri" w:hAnsi="Calibri"/>
                <w:color w:val="141414"/>
              </w:rPr>
              <w:t>18,319.8</w:t>
            </w:r>
          </w:p>
        </w:tc>
      </w:tr>
    </w:tbl>
    <w:p>
      <w:pPr>
        <w:spacing w:after="40"/>
      </w:pPr>
    </w:p>
    <w:p>
      <w:pPr>
        <w:spacing w:before="0" w:after="120" w:line="264" w:lineRule="auto"/>
      </w:pPr>
      <w:r>
        <w:rPr>
          <w:rFonts w:ascii="Calibri" w:hAnsi="Calibri"/>
          <w:color w:val="141414"/>
        </w:rPr>
        <w:t>The no-self variant reaches the same target spectral radius but has larger Frobenius norm and substantially higher non-normality. This matters because non-normal matrices can show strong transient amplification even when eigenvalues are kept inside a stable radius.</w:t>
      </w:r>
    </w:p>
    <w:p>
      <w:pPr>
        <w:spacing w:before="80" w:after="0"/>
        <w:jc w:val="center"/>
      </w:pPr>
      <w:r>
        <w:drawing>
          <wp:inline xmlns:a="http://schemas.openxmlformats.org/drawingml/2006/main" xmlns:pic="http://schemas.openxmlformats.org/drawingml/2006/picture">
            <wp:extent cx="5806440" cy="2322576"/>
            <wp:docPr id="3" name="Picture 3"/>
            <wp:cNvGraphicFramePr>
              <a:graphicFrameLocks noChangeAspect="1"/>
            </wp:cNvGraphicFramePr>
            <a:graphic>
              <a:graphicData uri="http://schemas.openxmlformats.org/drawingml/2006/picture">
                <pic:pic>
                  <pic:nvPicPr>
                    <pic:cNvPr id="0" name="schur_decomp_self_comparison.png"/>
                    <pic:cNvPicPr/>
                  </pic:nvPicPr>
                  <pic:blipFill>
                    <a:blip r:embed="rId13"/>
                    <a:stretch>
                      <a:fillRect/>
                    </a:stretch>
                  </pic:blipFill>
                  <pic:spPr>
                    <a:xfrm>
                      <a:off x="0" y="0"/>
                      <a:ext cx="5806440" cy="2322576"/>
                    </a:xfrm>
                    <a:prstGeom prst="rect"/>
                  </pic:spPr>
                </pic:pic>
              </a:graphicData>
            </a:graphic>
          </wp:inline>
        </w:drawing>
      </w:r>
    </w:p>
    <w:p>
      <w:pPr>
        <w:spacing w:before="60" w:after="180"/>
        <w:jc w:val="center"/>
      </w:pPr>
      <w:r>
        <w:rPr>
          <w:rFonts w:ascii="Calibri" w:hAnsi="Calibri"/>
          <w:i/>
          <w:color w:val="585858"/>
          <w:sz w:val="19"/>
        </w:rPr>
        <w:t>Figure 3. No-self to with-self ratios for selected linear-systems summaries.</w:t>
      </w:r>
    </w:p>
    <w:p>
      <w:pPr>
        <w:pStyle w:val="Heading2"/>
        <w:spacing w:before="240" w:after="120"/>
      </w:pPr>
      <w:r>
        <w:rPr>
          <w:rFonts w:ascii="Calibri" w:hAnsi="Calibri"/>
          <w:b/>
          <w:color w:val="2E74B5"/>
          <w:sz w:val="26"/>
        </w:rPr>
        <w:t>Linear systems branch</w:t>
      </w:r>
    </w:p>
    <w:tbl>
      <w:tblPr>
        <w:tblStyle w:val="TableGrid"/>
        <w:tblW w:type="dxa" w:w="9360"/>
        <w:jc w:val="left"/>
        <w:tblLayout w:type="fixed"/>
        <w:tblLook w:firstColumn="1" w:firstRow="1" w:lastColumn="0" w:lastRow="0" w:noHBand="0" w:noVBand="1" w:val="04A0"/>
        <w:tblInd w:w="120" w:type="dxa"/>
      </w:tblPr>
      <w:tblGrid>
        <w:gridCol w:w="1500"/>
        <w:gridCol w:w="2200"/>
        <w:gridCol w:w="1900"/>
        <w:gridCol w:w="1900"/>
        <w:gridCol w:w="1860"/>
      </w:tblGrid>
      <w:tr>
        <w:tc>
          <w:tcPr>
            <w:tcW w:type="dxa" w:w="15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2200"/>
            <w:shd w:fill="F2F4F7"/>
            <w:tcMar>
              <w:top w:w="80" w:type="dxa"/>
              <w:start w:w="120" w:type="dxa"/>
              <w:bottom w:w="80" w:type="dxa"/>
              <w:end w:w="120" w:type="dxa"/>
            </w:tcMar>
            <w:vAlign w:val="top"/>
          </w:tcPr>
          <w:p>
            <w:pPr>
              <w:spacing w:after="0"/>
            </w:pPr>
            <w:r>
              <w:rPr>
                <w:rFonts w:ascii="Calibri" w:hAnsi="Calibri"/>
                <w:b/>
                <w:color w:val="141414"/>
              </w:rPr>
              <w:t>Cumulative path norm</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Gramian trace</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Gramian condition</w:t>
            </w:r>
          </w:p>
        </w:tc>
        <w:tc>
          <w:tcPr>
            <w:tcW w:type="dxa" w:w="1860"/>
            <w:shd w:fill="F2F4F7"/>
            <w:tcMar>
              <w:top w:w="80" w:type="dxa"/>
              <w:start w:w="120" w:type="dxa"/>
              <w:bottom w:w="80" w:type="dxa"/>
              <w:end w:w="120" w:type="dxa"/>
            </w:tcMar>
            <w:vAlign w:val="top"/>
          </w:tcPr>
          <w:p>
            <w:pPr>
              <w:spacing w:after="0"/>
            </w:pPr>
            <w:r>
              <w:rPr>
                <w:rFonts w:ascii="Calibri" w:hAnsi="Calibri"/>
                <w:b/>
                <w:color w:val="141414"/>
              </w:rPr>
              <w:t>Peak gain</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2200"/>
            <w:tcMar>
              <w:top w:w="80" w:type="dxa"/>
              <w:start w:w="120" w:type="dxa"/>
              <w:bottom w:w="80" w:type="dxa"/>
              <w:end w:w="120" w:type="dxa"/>
            </w:tcMar>
            <w:vAlign w:val="top"/>
          </w:tcPr>
          <w:p>
            <w:pPr>
              <w:spacing w:after="0"/>
            </w:pPr>
            <w:r>
              <w:rPr>
                <w:rFonts w:ascii="Calibri" w:hAnsi="Calibri"/>
                <w:color w:val="141414"/>
              </w:rPr>
              <w:t>132.0</w:t>
            </w:r>
          </w:p>
        </w:tc>
        <w:tc>
          <w:tcPr>
            <w:tcW w:type="dxa" w:w="1900"/>
            <w:tcMar>
              <w:top w:w="80" w:type="dxa"/>
              <w:start w:w="120" w:type="dxa"/>
              <w:bottom w:w="80" w:type="dxa"/>
              <w:end w:w="120" w:type="dxa"/>
            </w:tcMar>
            <w:vAlign w:val="top"/>
          </w:tcPr>
          <w:p>
            <w:pPr>
              <w:spacing w:after="0"/>
            </w:pPr>
            <w:r>
              <w:rPr>
                <w:rFonts w:ascii="Calibri" w:hAnsi="Calibri"/>
                <w:color w:val="141414"/>
              </w:rPr>
              <w:t>9,546.6</w:t>
            </w:r>
          </w:p>
        </w:tc>
        <w:tc>
          <w:tcPr>
            <w:tcW w:type="dxa" w:w="1900"/>
            <w:tcMar>
              <w:top w:w="80" w:type="dxa"/>
              <w:start w:w="120" w:type="dxa"/>
              <w:bottom w:w="80" w:type="dxa"/>
              <w:end w:w="120" w:type="dxa"/>
            </w:tcMar>
            <w:vAlign w:val="top"/>
          </w:tcPr>
          <w:p>
            <w:pPr>
              <w:spacing w:after="0"/>
            </w:pPr>
            <w:r>
              <w:rPr>
                <w:rFonts w:ascii="Calibri" w:hAnsi="Calibri"/>
                <w:color w:val="141414"/>
              </w:rPr>
              <w:t>5,767.2</w:t>
            </w:r>
          </w:p>
        </w:tc>
        <w:tc>
          <w:tcPr>
            <w:tcW w:type="dxa" w:w="1860"/>
            <w:tcMar>
              <w:top w:w="80" w:type="dxa"/>
              <w:start w:w="120" w:type="dxa"/>
              <w:bottom w:w="80" w:type="dxa"/>
              <w:end w:w="120" w:type="dxa"/>
            </w:tcMar>
            <w:vAlign w:val="top"/>
          </w:tcPr>
          <w:p>
            <w:pPr>
              <w:spacing w:after="0"/>
            </w:pPr>
            <w:r>
              <w:rPr>
                <w:rFonts w:ascii="Calibri" w:hAnsi="Calibri"/>
                <w:color w:val="141414"/>
              </w:rPr>
              <w:t>69.4</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2200"/>
            <w:tcMar>
              <w:top w:w="80" w:type="dxa"/>
              <w:start w:w="120" w:type="dxa"/>
              <w:bottom w:w="80" w:type="dxa"/>
              <w:end w:w="120" w:type="dxa"/>
            </w:tcMar>
            <w:vAlign w:val="top"/>
          </w:tcPr>
          <w:p>
            <w:pPr>
              <w:spacing w:after="0"/>
            </w:pPr>
            <w:r>
              <w:rPr>
                <w:rFonts w:ascii="Calibri" w:hAnsi="Calibri"/>
                <w:color w:val="141414"/>
              </w:rPr>
              <w:t>323.9</w:t>
            </w:r>
          </w:p>
        </w:tc>
        <w:tc>
          <w:tcPr>
            <w:tcW w:type="dxa" w:w="1900"/>
            <w:tcMar>
              <w:top w:w="80" w:type="dxa"/>
              <w:start w:w="120" w:type="dxa"/>
              <w:bottom w:w="80" w:type="dxa"/>
              <w:end w:w="120" w:type="dxa"/>
            </w:tcMar>
            <w:vAlign w:val="top"/>
          </w:tcPr>
          <w:p>
            <w:pPr>
              <w:spacing w:after="0"/>
            </w:pPr>
            <w:r>
              <w:rPr>
                <w:rFonts w:ascii="Calibri" w:hAnsi="Calibri"/>
                <w:color w:val="141414"/>
              </w:rPr>
              <w:t>56,245.6</w:t>
            </w:r>
          </w:p>
        </w:tc>
        <w:tc>
          <w:tcPr>
            <w:tcW w:type="dxa" w:w="1900"/>
            <w:tcMar>
              <w:top w:w="80" w:type="dxa"/>
              <w:start w:w="120" w:type="dxa"/>
              <w:bottom w:w="80" w:type="dxa"/>
              <w:end w:w="120" w:type="dxa"/>
            </w:tcMar>
            <w:vAlign w:val="top"/>
          </w:tcPr>
          <w:p>
            <w:pPr>
              <w:spacing w:after="0"/>
            </w:pPr>
            <w:r>
              <w:rPr>
                <w:rFonts w:ascii="Calibri" w:hAnsi="Calibri"/>
                <w:color w:val="141414"/>
              </w:rPr>
              <w:t>42,740.4</w:t>
            </w:r>
          </w:p>
        </w:tc>
        <w:tc>
          <w:tcPr>
            <w:tcW w:type="dxa" w:w="1860"/>
            <w:tcMar>
              <w:top w:w="80" w:type="dxa"/>
              <w:start w:w="120" w:type="dxa"/>
              <w:bottom w:w="80" w:type="dxa"/>
              <w:end w:w="120" w:type="dxa"/>
            </w:tcMar>
            <w:vAlign w:val="top"/>
          </w:tcPr>
          <w:p>
            <w:pPr>
              <w:spacing w:after="0"/>
            </w:pPr>
            <w:r>
              <w:rPr>
                <w:rFonts w:ascii="Calibri" w:hAnsi="Calibri"/>
                <w:color w:val="141414"/>
              </w:rPr>
              <w:t>193.4</w:t>
            </w:r>
          </w:p>
        </w:tc>
      </w:tr>
    </w:tbl>
    <w:p>
      <w:pPr>
        <w:spacing w:after="40"/>
      </w:pPr>
    </w:p>
    <w:p>
      <w:pPr>
        <w:spacing w:before="0" w:after="120" w:line="264" w:lineRule="auto"/>
      </w:pPr>
      <w:r>
        <w:rPr>
          <w:rFonts w:ascii="Calibri" w:hAnsi="Calibri"/>
          <w:color w:val="141414"/>
        </w:rPr>
        <w:t>The linear-systems outputs suggest that removing self-connections increases indirect path strength, controllability energy, and low-frequency gain. This makes the self/no-self comparison a genuine modeling decision rather than a cosmetic preprocessing step.</w:t>
      </w:r>
    </w:p>
    <w:p>
      <w:pPr>
        <w:pStyle w:val="Heading2"/>
        <w:spacing w:before="240" w:after="120"/>
      </w:pPr>
      <w:r>
        <w:rPr>
          <w:rFonts w:ascii="Calibri" w:hAnsi="Calibri"/>
          <w:b/>
          <w:color w:val="2E74B5"/>
          <w:sz w:val="26"/>
        </w:rPr>
        <w:t>Inhibitory modulation branch</w:t>
      </w:r>
    </w:p>
    <w:tbl>
      <w:tblPr>
        <w:tblStyle w:val="TableGrid"/>
        <w:tblW w:type="dxa" w:w="9360"/>
        <w:jc w:val="left"/>
        <w:tblLayout w:type="fixed"/>
        <w:tblLook w:firstColumn="1" w:firstRow="1" w:lastColumn="0" w:lastRow="0" w:noHBand="0" w:noVBand="1" w:val="04A0"/>
        <w:tblInd w:w="120" w:type="dxa"/>
      </w:tblPr>
      <w:tblGrid>
        <w:gridCol w:w="1500"/>
        <w:gridCol w:w="2200"/>
        <w:gridCol w:w="1900"/>
        <w:gridCol w:w="1900"/>
        <w:gridCol w:w="1860"/>
      </w:tblGrid>
      <w:tr>
        <w:tc>
          <w:tcPr>
            <w:tcW w:type="dxa" w:w="1500"/>
            <w:shd w:fill="F2F4F7"/>
            <w:tcMar>
              <w:top w:w="80" w:type="dxa"/>
              <w:start w:w="120" w:type="dxa"/>
              <w:bottom w:w="80" w:type="dxa"/>
              <w:end w:w="120" w:type="dxa"/>
            </w:tcMar>
            <w:vAlign w:val="top"/>
          </w:tcPr>
          <w:p>
            <w:pPr>
              <w:spacing w:after="0"/>
            </w:pPr>
            <w:r>
              <w:rPr>
                <w:rFonts w:ascii="Calibri" w:hAnsi="Calibri"/>
                <w:b/>
                <w:color w:val="141414"/>
              </w:rPr>
              <w:t>Variant</w:t>
            </w:r>
          </w:p>
        </w:tc>
        <w:tc>
          <w:tcPr>
            <w:tcW w:type="dxa" w:w="2200"/>
            <w:shd w:fill="F2F4F7"/>
            <w:tcMar>
              <w:top w:w="80" w:type="dxa"/>
              <w:start w:w="120" w:type="dxa"/>
              <w:bottom w:w="80" w:type="dxa"/>
              <w:end w:w="120" w:type="dxa"/>
            </w:tcMar>
            <w:vAlign w:val="top"/>
          </w:tcPr>
          <w:p>
            <w:pPr>
              <w:spacing w:after="0"/>
            </w:pPr>
            <w:r>
              <w:rPr>
                <w:rFonts w:ascii="Calibri" w:hAnsi="Calibri"/>
                <w:b/>
                <w:color w:val="141414"/>
              </w:rPr>
              <w:t>Effective E radius</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Feedback radius</w:t>
            </w:r>
          </w:p>
        </w:tc>
        <w:tc>
          <w:tcPr>
            <w:tcW w:type="dxa" w:w="1900"/>
            <w:shd w:fill="F2F4F7"/>
            <w:tcMar>
              <w:top w:w="80" w:type="dxa"/>
              <w:start w:w="120" w:type="dxa"/>
              <w:bottom w:w="80" w:type="dxa"/>
              <w:end w:w="120" w:type="dxa"/>
            </w:tcMar>
            <w:vAlign w:val="top"/>
          </w:tcPr>
          <w:p>
            <w:pPr>
              <w:spacing w:after="0"/>
            </w:pPr>
            <w:r>
              <w:rPr>
                <w:rFonts w:ascii="Calibri" w:hAnsi="Calibri"/>
                <w:b/>
                <w:color w:val="141414"/>
              </w:rPr>
              <w:t>Selected I-I order</w:t>
            </w:r>
          </w:p>
        </w:tc>
        <w:tc>
          <w:tcPr>
            <w:tcW w:type="dxa" w:w="1860"/>
            <w:shd w:fill="F2F4F7"/>
            <w:tcMar>
              <w:top w:w="80" w:type="dxa"/>
              <w:start w:w="120" w:type="dxa"/>
              <w:bottom w:w="80" w:type="dxa"/>
              <w:end w:w="120" w:type="dxa"/>
            </w:tcMar>
            <w:vAlign w:val="top"/>
          </w:tcPr>
          <w:p>
            <w:pPr>
              <w:spacing w:after="0"/>
            </w:pPr>
            <w:r>
              <w:rPr>
                <w:rFonts w:ascii="Calibri" w:hAnsi="Calibri"/>
                <w:b/>
                <w:color w:val="141414"/>
              </w:rPr>
              <w:t>alpha rho(M_II)</w:t>
            </w:r>
          </w:p>
        </w:tc>
      </w:tr>
      <w:tr>
        <w:tc>
          <w:tcPr>
            <w:tcW w:type="dxa" w:w="1500"/>
            <w:tcMar>
              <w:top w:w="80" w:type="dxa"/>
              <w:start w:w="120" w:type="dxa"/>
              <w:bottom w:w="80" w:type="dxa"/>
              <w:end w:w="120" w:type="dxa"/>
            </w:tcMar>
            <w:vAlign w:val="top"/>
          </w:tcPr>
          <w:p>
            <w:pPr>
              <w:spacing w:after="0"/>
            </w:pPr>
            <w:r>
              <w:rPr>
                <w:rFonts w:ascii="Calibri" w:hAnsi="Calibri"/>
                <w:color w:val="141414"/>
              </w:rPr>
              <w:t>with_self</w:t>
            </w:r>
          </w:p>
        </w:tc>
        <w:tc>
          <w:tcPr>
            <w:tcW w:type="dxa" w:w="2200"/>
            <w:tcMar>
              <w:top w:w="80" w:type="dxa"/>
              <w:start w:w="120" w:type="dxa"/>
              <w:bottom w:w="80" w:type="dxa"/>
              <w:end w:w="120" w:type="dxa"/>
            </w:tcMar>
            <w:vAlign w:val="top"/>
          </w:tcPr>
          <w:p>
            <w:pPr>
              <w:spacing w:after="0"/>
            </w:pPr>
            <w:r>
              <w:rPr>
                <w:rFonts w:ascii="Calibri" w:hAnsi="Calibri"/>
                <w:color w:val="141414"/>
              </w:rPr>
              <w:t>1.000</w:t>
            </w:r>
          </w:p>
        </w:tc>
        <w:tc>
          <w:tcPr>
            <w:tcW w:type="dxa" w:w="1900"/>
            <w:tcMar>
              <w:top w:w="80" w:type="dxa"/>
              <w:start w:w="120" w:type="dxa"/>
              <w:bottom w:w="80" w:type="dxa"/>
              <w:end w:w="120" w:type="dxa"/>
            </w:tcMar>
            <w:vAlign w:val="top"/>
          </w:tcPr>
          <w:p>
            <w:pPr>
              <w:spacing w:after="0"/>
            </w:pPr>
            <w:r>
              <w:rPr>
                <w:rFonts w:ascii="Calibri" w:hAnsi="Calibri"/>
                <w:color w:val="141414"/>
              </w:rPr>
              <w:t>0.116</w:t>
            </w:r>
          </w:p>
        </w:tc>
        <w:tc>
          <w:tcPr>
            <w:tcW w:type="dxa" w:w="1900"/>
            <w:tcMar>
              <w:top w:w="80" w:type="dxa"/>
              <w:start w:w="120" w:type="dxa"/>
              <w:bottom w:w="80" w:type="dxa"/>
              <w:end w:w="120" w:type="dxa"/>
            </w:tcMar>
            <w:vAlign w:val="top"/>
          </w:tcPr>
          <w:p>
            <w:pPr>
              <w:spacing w:after="0"/>
            </w:pPr>
            <w:r>
              <w:rPr>
                <w:rFonts w:ascii="Calibri" w:hAnsi="Calibri"/>
                <w:color w:val="141414"/>
              </w:rPr>
              <w:t>2</w:t>
            </w:r>
          </w:p>
        </w:tc>
        <w:tc>
          <w:tcPr>
            <w:tcW w:type="dxa" w:w="1860"/>
            <w:tcMar>
              <w:top w:w="80" w:type="dxa"/>
              <w:start w:w="120" w:type="dxa"/>
              <w:bottom w:w="80" w:type="dxa"/>
              <w:end w:w="120" w:type="dxa"/>
            </w:tcMar>
            <w:vAlign w:val="top"/>
          </w:tcPr>
          <w:p>
            <w:pPr>
              <w:spacing w:after="0"/>
            </w:pPr>
            <w:r>
              <w:rPr>
                <w:rFonts w:ascii="Calibri" w:hAnsi="Calibri"/>
                <w:color w:val="141414"/>
              </w:rPr>
              <w:t>0.155</w:t>
            </w:r>
          </w:p>
        </w:tc>
      </w:tr>
      <w:tr>
        <w:tc>
          <w:tcPr>
            <w:tcW w:type="dxa" w:w="1500"/>
            <w:tcMar>
              <w:top w:w="80" w:type="dxa"/>
              <w:start w:w="120" w:type="dxa"/>
              <w:bottom w:w="80" w:type="dxa"/>
              <w:end w:w="120" w:type="dxa"/>
            </w:tcMar>
            <w:vAlign w:val="top"/>
          </w:tcPr>
          <w:p>
            <w:pPr>
              <w:spacing w:after="0"/>
            </w:pPr>
            <w:r>
              <w:rPr>
                <w:rFonts w:ascii="Calibri" w:hAnsi="Calibri"/>
                <w:color w:val="141414"/>
              </w:rPr>
              <w:t>no_self</w:t>
            </w:r>
          </w:p>
        </w:tc>
        <w:tc>
          <w:tcPr>
            <w:tcW w:type="dxa" w:w="2200"/>
            <w:tcMar>
              <w:top w:w="80" w:type="dxa"/>
              <w:start w:w="120" w:type="dxa"/>
              <w:bottom w:w="80" w:type="dxa"/>
              <w:end w:w="120" w:type="dxa"/>
            </w:tcMar>
            <w:vAlign w:val="top"/>
          </w:tcPr>
          <w:p>
            <w:pPr>
              <w:spacing w:after="0"/>
            </w:pPr>
            <w:r>
              <w:rPr>
                <w:rFonts w:ascii="Calibri" w:hAnsi="Calibri"/>
                <w:color w:val="141414"/>
              </w:rPr>
              <w:t>1.000</w:t>
            </w:r>
          </w:p>
        </w:tc>
        <w:tc>
          <w:tcPr>
            <w:tcW w:type="dxa" w:w="1900"/>
            <w:tcMar>
              <w:top w:w="80" w:type="dxa"/>
              <w:start w:w="120" w:type="dxa"/>
              <w:bottom w:w="80" w:type="dxa"/>
              <w:end w:w="120" w:type="dxa"/>
            </w:tcMar>
            <w:vAlign w:val="top"/>
          </w:tcPr>
          <w:p>
            <w:pPr>
              <w:spacing w:after="0"/>
            </w:pPr>
            <w:r>
              <w:rPr>
                <w:rFonts w:ascii="Calibri" w:hAnsi="Calibri"/>
                <w:color w:val="141414"/>
              </w:rPr>
              <w:t>0.365</w:t>
            </w:r>
          </w:p>
        </w:tc>
        <w:tc>
          <w:tcPr>
            <w:tcW w:type="dxa" w:w="1900"/>
            <w:tcMar>
              <w:top w:w="80" w:type="dxa"/>
              <w:start w:w="120" w:type="dxa"/>
              <w:bottom w:w="80" w:type="dxa"/>
              <w:end w:w="120" w:type="dxa"/>
            </w:tcMar>
            <w:vAlign w:val="top"/>
          </w:tcPr>
          <w:p>
            <w:pPr>
              <w:spacing w:after="0"/>
            </w:pPr>
            <w:r>
              <w:rPr>
                <w:rFonts w:ascii="Calibri" w:hAnsi="Calibri"/>
                <w:color w:val="141414"/>
              </w:rPr>
              <w:t>1</w:t>
            </w:r>
          </w:p>
        </w:tc>
        <w:tc>
          <w:tcPr>
            <w:tcW w:type="dxa" w:w="1860"/>
            <w:tcMar>
              <w:top w:w="80" w:type="dxa"/>
              <w:start w:w="120" w:type="dxa"/>
              <w:bottom w:w="80" w:type="dxa"/>
              <w:end w:w="120" w:type="dxa"/>
            </w:tcMar>
            <w:vAlign w:val="top"/>
          </w:tcPr>
          <w:p>
            <w:pPr>
              <w:spacing w:after="0"/>
            </w:pPr>
            <w:r>
              <w:rPr>
                <w:rFonts w:ascii="Calibri" w:hAnsi="Calibri"/>
                <w:color w:val="141414"/>
              </w:rPr>
              <w:t>0.116</w:t>
            </w:r>
          </w:p>
        </w:tc>
      </w:tr>
    </w:tbl>
    <w:p>
      <w:pPr>
        <w:spacing w:after="40"/>
      </w:pPr>
    </w:p>
    <w:p>
      <w:pPr>
        <w:spacing w:before="0" w:after="120" w:line="264" w:lineRule="auto"/>
      </w:pPr>
      <w:r>
        <w:rPr>
          <w:rFonts w:ascii="Calibri" w:hAnsi="Calibri"/>
          <w:color w:val="141414"/>
        </w:rPr>
        <w:t>The inhibitory branch should be presented as a focused extension of the main Schur project. It uses the same state convention but partitions the matrix into E and I blocks, then asks how inhibitory feedback reshapes effective excitatory dynamics.</w:t>
      </w:r>
    </w:p>
    <w:p>
      <w:pPr>
        <w:pStyle w:val="Heading1"/>
        <w:spacing w:before="320" w:after="160"/>
      </w:pPr>
      <w:r>
        <w:rPr>
          <w:rFonts w:ascii="Calibri" w:hAnsi="Calibri"/>
          <w:b/>
          <w:color w:val="2E74B5"/>
          <w:sz w:val="32"/>
        </w:rPr>
        <w:t>Interpretive Value for Advisor Discussion</w:t>
      </w:r>
    </w:p>
    <w:p>
      <w:pPr>
        <w:pStyle w:val="ListBullet"/>
        <w:spacing w:after="160" w:line="280" w:lineRule="auto"/>
      </w:pPr>
      <w:r>
        <w:rPr>
          <w:rFonts w:ascii="Calibri" w:hAnsi="Calibri"/>
          <w:color w:val="141414"/>
        </w:rPr>
        <w:t>The project provides a consistent mathematical convention for a biologically directed matrix, reducing ambiguity about source and receiver roles.</w:t>
      </w:r>
    </w:p>
    <w:p>
      <w:pPr>
        <w:pStyle w:val="ListBullet"/>
        <w:spacing w:after="160" w:line="280" w:lineRule="auto"/>
      </w:pPr>
      <w:r>
        <w:rPr>
          <w:rFonts w:ascii="Calibri" w:hAnsi="Calibri"/>
          <w:color w:val="141414"/>
        </w:rPr>
        <w:t>Schur decomposition gives a stable modal coordinate system that supports both eigenvalue interpretation and directed mode-coupling traces.</w:t>
      </w:r>
    </w:p>
    <w:p>
      <w:pPr>
        <w:pStyle w:val="ListBullet"/>
        <w:spacing w:after="160" w:line="280" w:lineRule="auto"/>
      </w:pPr>
      <w:r>
        <w:rPr>
          <w:rFonts w:ascii="Calibri" w:hAnsi="Calibri"/>
          <w:color w:val="141414"/>
        </w:rPr>
        <w:t>Self/no-self comparisons show that diagonal entries materially affect spectral scale, non-normality, and propagation strength.</w:t>
      </w:r>
    </w:p>
    <w:p>
      <w:pPr>
        <w:pStyle w:val="ListBullet"/>
        <w:spacing w:after="160" w:line="280" w:lineRule="auto"/>
      </w:pPr>
      <w:r>
        <w:rPr>
          <w:rFonts w:ascii="Calibri" w:hAnsi="Calibri"/>
          <w:color w:val="141414"/>
        </w:rPr>
        <w:t>Greedy trees and top-contributor tables translate high-dimensional modes into cell-class hypotheses that can be checked against neuroanatomy.</w:t>
      </w:r>
    </w:p>
    <w:p>
      <w:pPr>
        <w:pStyle w:val="ListBullet"/>
        <w:spacing w:after="160" w:line="280" w:lineRule="auto"/>
      </w:pPr>
      <w:r>
        <w:rPr>
          <w:rFonts w:ascii="Calibri" w:hAnsi="Calibri"/>
          <w:color w:val="141414"/>
        </w:rPr>
        <w:t>The inhibitory Schur-complement branch connects broad linear algebra results to mechanistic questions about feedback and disinhibition.</w:t>
      </w:r>
    </w:p>
    <w:p>
      <w:pPr>
        <w:pStyle w:val="Heading1"/>
        <w:spacing w:before="320" w:after="160"/>
      </w:pPr>
      <w:r>
        <w:rPr>
          <w:rFonts w:ascii="Calibri" w:hAnsi="Calibri"/>
          <w:b/>
          <w:color w:val="2E74B5"/>
          <w:sz w:val="32"/>
        </w:rPr>
        <w:t>Limitations</w:t>
      </w:r>
    </w:p>
    <w:p>
      <w:pPr>
        <w:pStyle w:val="ListBullet"/>
        <w:spacing w:after="160" w:line="280" w:lineRule="auto"/>
      </w:pPr>
      <w:r>
        <w:rPr>
          <w:rFonts w:ascii="Calibri" w:hAnsi="Calibri"/>
          <w:color w:val="141414"/>
        </w:rPr>
        <w:t>The model is linear and static; it does not include spiking dynamics, nonlinear activation, synaptic delays, or state-dependent gain changes.</w:t>
      </w:r>
    </w:p>
    <w:p>
      <w:pPr>
        <w:pStyle w:val="ListBullet"/>
        <w:spacing w:after="160" w:line="280" w:lineRule="auto"/>
      </w:pPr>
      <w:r>
        <w:rPr>
          <w:rFonts w:ascii="Calibri" w:hAnsi="Calibri"/>
          <w:color w:val="141414"/>
        </w:rPr>
        <w:t>Some E/I labels are inferred by string patterns or netlist metadata, so final biological claims should verify labels against the source dataset.</w:t>
      </w:r>
    </w:p>
    <w:p>
      <w:pPr>
        <w:pStyle w:val="ListBullet"/>
        <w:spacing w:after="160" w:line="280" w:lineRule="auto"/>
      </w:pPr>
      <w:r>
        <w:rPr>
          <w:rFonts w:ascii="Calibri" w:hAnsi="Calibri"/>
          <w:color w:val="141414"/>
        </w:rPr>
        <w:t>Schur vectors are orthonormal modal coordinates, not ordinary eigenvectors; interpretation should preserve that distinction.</w:t>
      </w:r>
    </w:p>
    <w:p>
      <w:pPr>
        <w:pStyle w:val="ListBullet"/>
        <w:spacing w:after="160" w:line="280" w:lineRule="auto"/>
      </w:pPr>
      <w:r>
        <w:rPr>
          <w:rFonts w:ascii="Calibri" w:hAnsi="Calibri"/>
          <w:color w:val="141414"/>
        </w:rPr>
        <w:t>Spectral-radius normalization is useful for comparison and stability, but normalized values should not be read as direct physiological magnitudes.</w:t>
      </w:r>
    </w:p>
    <w:p>
      <w:pPr>
        <w:pStyle w:val="ListBullet"/>
        <w:spacing w:after="160" w:line="280" w:lineRule="auto"/>
      </w:pPr>
      <w:r>
        <w:rPr>
          <w:rFonts w:ascii="Calibri" w:hAnsi="Calibri"/>
          <w:color w:val="141414"/>
        </w:rPr>
        <w:t>Greedy trees are interpretive summaries of high-loading subnetworks, not guaranteed optimal circuit reconstructions.</w:t>
      </w:r>
    </w:p>
    <w:p>
      <w:pPr>
        <w:pStyle w:val="Heading1"/>
        <w:spacing w:before="320" w:after="160"/>
      </w:pPr>
      <w:r>
        <w:rPr>
          <w:rFonts w:ascii="Calibri" w:hAnsi="Calibri"/>
          <w:b/>
          <w:color w:val="2E74B5"/>
          <w:sz w:val="32"/>
        </w:rPr>
        <w:t>Recommended Next Steps</w:t>
      </w:r>
    </w:p>
    <w:p>
      <w:pPr>
        <w:pStyle w:val="ListBullet"/>
        <w:spacing w:after="160" w:line="280" w:lineRule="auto"/>
      </w:pPr>
      <w:r>
        <w:rPr>
          <w:rFonts w:ascii="Calibri" w:hAnsi="Calibri"/>
          <w:color w:val="141414"/>
        </w:rPr>
        <w:t>Choose a primary matrix convention and include a short convention statement in every notebook and figure caption.</w:t>
      </w:r>
    </w:p>
    <w:p>
      <w:pPr>
        <w:pStyle w:val="ListBullet"/>
        <w:spacing w:after="160" w:line="280" w:lineRule="auto"/>
      </w:pPr>
      <w:r>
        <w:rPr>
          <w:rFonts w:ascii="Calibri" w:hAnsi="Calibri"/>
          <w:color w:val="141414"/>
        </w:rPr>
        <w:t>Decide whether the advisor-facing analysis should prioritize with-self, no-self, or a formal side-by-side treatment.</w:t>
      </w:r>
    </w:p>
    <w:p>
      <w:pPr>
        <w:pStyle w:val="ListBullet"/>
        <w:spacing w:after="160" w:line="280" w:lineRule="auto"/>
      </w:pPr>
      <w:r>
        <w:rPr>
          <w:rFonts w:ascii="Calibri" w:hAnsi="Calibri"/>
          <w:color w:val="141414"/>
        </w:rPr>
        <w:t>Validate the top Schur-mode and greedy-tree cell classes against known hippocampal-entorhinal pathways.</w:t>
      </w:r>
    </w:p>
    <w:p>
      <w:pPr>
        <w:pStyle w:val="ListBullet"/>
        <w:spacing w:after="160" w:line="280" w:lineRule="auto"/>
      </w:pPr>
      <w:r>
        <w:rPr>
          <w:rFonts w:ascii="Calibri" w:hAnsi="Calibri"/>
          <w:color w:val="141414"/>
        </w:rPr>
        <w:t>Add a constrained null model for motif and path analyses that preserves region and E/I block structure.</w:t>
      </w:r>
    </w:p>
    <w:p>
      <w:pPr>
        <w:pStyle w:val="ListBullet"/>
        <w:spacing w:after="160" w:line="280" w:lineRule="auto"/>
      </w:pPr>
      <w:r>
        <w:rPr>
          <w:rFonts w:ascii="Calibri" w:hAnsi="Calibri"/>
          <w:color w:val="141414"/>
        </w:rPr>
        <w:t>Package the most important outputs into a compact figure panel: spectrum, Schur T heatmap, mode contributors, self/no-self comparison, and inhibitory feedback summary.</w:t>
      </w:r>
    </w:p>
    <w:p>
      <w:pPr>
        <w:pStyle w:val="Heading1"/>
        <w:spacing w:before="320" w:after="160"/>
      </w:pPr>
      <w:r>
        <w:rPr>
          <w:rFonts w:ascii="Calibri" w:hAnsi="Calibri"/>
          <w:b/>
          <w:color w:val="2E74B5"/>
          <w:sz w:val="32"/>
        </w:rPr>
        <w:t>Source Files Used</w:t>
      </w:r>
    </w:p>
    <w:p>
      <w:pPr>
        <w:pStyle w:val="ListBullet"/>
        <w:spacing w:after="160" w:line="280" w:lineRule="auto"/>
      </w:pPr>
      <w:r>
        <w:rPr>
          <w:rFonts w:ascii="Calibri" w:hAnsi="Calibri"/>
          <w:color w:val="141414"/>
        </w:rPr>
        <w:t>eigenmode_analysis_mij_schur_corrected_left_action.ipynb and related notebooks: exploratory analysis and interpretive notes.</w:t>
      </w:r>
    </w:p>
    <w:p>
      <w:pPr>
        <w:pStyle w:val="ListBullet"/>
        <w:spacing w:after="160" w:line="280" w:lineRule="auto"/>
      </w:pPr>
      <w:r>
        <w:rPr>
          <w:rFonts w:ascii="Calibri" w:hAnsi="Calibri"/>
          <w:color w:val="141414"/>
        </w:rPr>
        <w:t>schur_analysis_utils_script.py: reusable Schur decomposition and modal interpretation functions.</w:t>
      </w:r>
    </w:p>
    <w:p>
      <w:pPr>
        <w:pStyle w:val="ListBullet"/>
        <w:spacing w:after="160" w:line="280" w:lineRule="auto"/>
      </w:pPr>
      <w:r>
        <w:rPr>
          <w:rFonts w:ascii="Calibri" w:hAnsi="Calibri"/>
          <w:color w:val="141414"/>
        </w:rPr>
        <w:t>schur_signal_propagation_script.py: propagation and saved Schur-mode outputs.</w:t>
      </w:r>
    </w:p>
    <w:p>
      <w:pPr>
        <w:pStyle w:val="ListBullet"/>
        <w:spacing w:after="160" w:line="280" w:lineRule="auto"/>
      </w:pPr>
      <w:r>
        <w:rPr>
          <w:rFonts w:ascii="Calibri" w:hAnsi="Calibri"/>
          <w:color w:val="141414"/>
        </w:rPr>
        <w:t>schur_mode_greedy_trees_script.py: mode contributor subnetworks and greedy tree summaries.</w:t>
      </w:r>
    </w:p>
    <w:p>
      <w:pPr>
        <w:pStyle w:val="ListBullet"/>
        <w:spacing w:after="160" w:line="280" w:lineRule="auto"/>
      </w:pPr>
      <w:r>
        <w:rPr>
          <w:rFonts w:ascii="Calibri" w:hAnsi="Calibri"/>
          <w:color w:val="141414"/>
        </w:rPr>
        <w:t>network_linear_systems_tools_script.py: path powers, controllability, and frequency-response summaries.</w:t>
      </w:r>
    </w:p>
    <w:p>
      <w:pPr>
        <w:pStyle w:val="ListBullet"/>
        <w:spacing w:after="160" w:line="280" w:lineRule="auto"/>
      </w:pPr>
      <w:r>
        <w:rPr>
          <w:rFonts w:ascii="Calibri" w:hAnsi="Calibri"/>
          <w:color w:val="141414"/>
        </w:rPr>
        <w:t>inhibitory_schur_modulation_script.py: E/I block analysis and inhibitory Schur-complement branch.</w:t>
      </w:r>
    </w:p>
    <w:p>
      <w:pPr>
        <w:pStyle w:val="ListBullet"/>
        <w:spacing w:after="160" w:line="280" w:lineRule="auto"/>
      </w:pPr>
      <w:r>
        <w:rPr>
          <w:rFonts w:ascii="Calibri" w:hAnsi="Calibri"/>
          <w:color w:val="141414"/>
        </w:rPr>
        <w:t>outputs/schur_modes, outputs/schur_mode_greedy_trees, outputs/network_linear_systems, and outputs/inhibitory_schur_modulation: generated result tables used in this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85858"/>
        <w:sz w:val="18"/>
      </w:rPr>
      <w:t>Advisor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85858"/>
        <w:sz w:val="18"/>
      </w:rPr>
      <w:t>schur_decomp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