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55555"/>
          <w:sz w:val="20"/>
        </w:rPr>
        <w:t>METHOD BRIEF</w:t>
      </w:r>
    </w:p>
    <w:p>
      <w:pPr>
        <w:spacing w:before="0" w:after="80"/>
      </w:pPr>
      <w:r>
        <w:rPr>
          <w:rFonts w:ascii="Calibri" w:hAnsi="Calibri"/>
          <w:b/>
          <w:color w:val="000000"/>
          <w:sz w:val="48"/>
        </w:rPr>
        <w:t>E-to-E Backbone Method Comparison</w:t>
      </w:r>
    </w:p>
    <w:p>
      <w:pPr>
        <w:spacing w:after="240"/>
      </w:pPr>
      <w:r>
        <w:rPr>
          <w:rFonts w:ascii="Calibri" w:hAnsi="Calibri"/>
          <w:color w:val="555555"/>
          <w:sz w:val="24"/>
        </w:rPr>
        <w:t>Advisor submission summary for the notebook, data scope, optimization methods, and current results</w:t>
      </w:r>
    </w:p>
    <w:p>
      <w:pPr>
        <w:spacing w:after="40"/>
      </w:pPr>
      <w:r>
        <w:rPr>
          <w:rFonts w:ascii="Calibri" w:hAnsi="Calibri"/>
          <w:b/>
          <w:color w:val="000000"/>
        </w:rPr>
        <w:t xml:space="preserve">Prepared for: </w:t>
      </w:r>
      <w:r>
        <w:rPr>
          <w:rFonts w:ascii="Calibri" w:hAnsi="Calibri"/>
          <w:color w:val="000000"/>
        </w:rPr>
        <w:t>Advisor review</w:t>
      </w:r>
    </w:p>
    <w:p>
      <w:pPr>
        <w:spacing w:after="40"/>
      </w:pPr>
      <w:r>
        <w:rPr>
          <w:rFonts w:ascii="Calibri" w:hAnsi="Calibri"/>
          <w:b/>
          <w:color w:val="000000"/>
        </w:rPr>
        <w:t xml:space="preserve">Prepared from: </w:t>
      </w:r>
      <w:r>
        <w:rPr>
          <w:rFonts w:ascii="Calibri" w:hAnsi="Calibri"/>
          <w:color w:val="000000"/>
        </w:rPr>
        <w:t>ee_backbone_method_comparison.ipynb</w:t>
      </w:r>
    </w:p>
    <w:p>
      <w:pPr>
        <w:spacing w:after="40"/>
      </w:pPr>
      <w:r>
        <w:rPr>
          <w:rFonts w:ascii="Calibri" w:hAnsi="Calibri"/>
          <w:b/>
          <w:color w:val="000000"/>
        </w:rPr>
        <w:t xml:space="preserve">Primary input: </w:t>
      </w:r>
      <w:r>
        <w:rPr>
          <w:rFonts w:ascii="Calibri" w:hAnsi="Calibri"/>
          <w:color w:val="000000"/>
        </w:rPr>
        <w:t>matrices/mij_EE_matrix.csv</w:t>
      </w:r>
    </w:p>
    <w:p>
      <w:pPr>
        <w:spacing w:after="40"/>
      </w:pPr>
      <w:r>
        <w:rPr>
          <w:rFonts w:ascii="Calibri" w:hAnsi="Calibri"/>
          <w:b/>
          <w:color w:val="000000"/>
        </w:rPr>
        <w:t xml:space="preserve">Date: </w:t>
      </w:r>
      <w:r>
        <w:rPr>
          <w:rFonts w:ascii="Calibri" w:hAnsi="Calibri"/>
          <w:color w:val="000000"/>
        </w:rPr>
        <w:t>August 20, 2026</w:t>
      </w:r>
    </w:p>
    <w:p>
      <w:pPr>
        <w:pBdr>
          <w:bottom w:val="single" w:sz="8" w:space="1" w:color="D9E2F3"/>
        </w:pBdr>
      </w:pPr>
    </w:p>
    <w:tbl>
      <w:tblGrid>
        <w:gridCol w:w="9360"/>
      </w:tblGrid>
      <w:tblPr>
        <w:tblW w:type="dxa" w:w="9360"/>
        <w:jc w:val="left"/>
        <w:tblLayout w:type="fixed"/>
        <w:tblLook w:firstColumn="1" w:firstRow="1" w:lastColumn="0" w:lastRow="0" w:noHBand="0" w:noVBand="1" w:val="04A0"/>
      </w:tblPr>
      <w:tr>
        <w:tc>
          <w:tcPr>
            <w:tcW w:type="dxa" w:w="9360"/>
            <w:vAlign w:val="center"/>
            <w:tcMar>
              <w:top w:w="80" w:type="dxa"/>
              <w:bottom w:w="80" w:type="dxa"/>
              <w:start w:w="120" w:type="dxa"/>
              <w:end w:w="120" w:type="dxa"/>
            </w:tcMar>
            <w:shd w:fill="F4F6F9"/>
          </w:tcPr>
          <w:p>
            <w:pPr>
              <w:spacing w:after="60"/>
            </w:pPr>
            <w:r>
              <w:rPr>
                <w:rFonts w:ascii="Calibri" w:hAnsi="Calibri"/>
                <w:b/>
                <w:color w:val="1F4D78"/>
              </w:rPr>
              <w:t>Bottom line</w:t>
            </w:r>
          </w:p>
          <w:p>
            <w:pPr>
              <w:spacing w:after="0"/>
            </w:pPr>
            <w:r>
              <w:rPr>
                <w:rFonts w:ascii="Calibri" w:hAnsi="Calibri"/>
                <w:color w:val="000000"/>
              </w:rPr>
              <w:t>The notebook compares six approaches for extracting excitatory-to-excitatory backbone paths from the E-only matrix. The unconstrained MILP with subtour elimination is the exact maximizing benchmark for the current objective: all 32 seed solves returned Optimal, and it produced the highest mean summed path weight. The Hamiltonian MILP also solved optimally for all seeds, but it answers a stricter complete-ordering question because every excitatory node must be visited exactly once.</w:t>
            </w:r>
          </w:p>
        </w:tc>
      </w:tr>
    </w:tbl>
    <w:p/>
    <w:p>
      <w:pPr>
        <w:pStyle w:val="Heading1"/>
      </w:pPr>
      <w:r>
        <w:t>1. Purpose of the notebook</w:t>
      </w:r>
    </w:p>
    <w:p>
      <w:r>
        <w:rPr>
          <w:rFonts w:ascii="Calibri" w:hAnsi="Calibri"/>
          <w:b w:val="0"/>
          <w:i w:val="0"/>
          <w:color w:val="000000"/>
        </w:rPr>
        <w:t>The notebook evaluates alternative ways to build directed E-to-E backbone paths from the matrix representation of connectivity weights. Each method starts from every excitatory seed node and produces a directed path scored by the sum of selected positive transition weights between distinct excitatory nodes. The purpose is methodological comparison: which search formulation best captures high-weight directed structure under the same preprocessing and scoring rules?</w:t>
      </w:r>
    </w:p>
    <w:p>
      <w:r>
        <w:rPr>
          <w:rFonts w:ascii="Calibri" w:hAnsi="Calibri"/>
          <w:b w:val="0"/>
          <w:i w:val="0"/>
          <w:color w:val="000000"/>
        </w:rPr>
        <w:t>The current analysis uses `mij_EE_matrix.csv` as the input. That file contains the 32 excitatory rows and columns extracted from `mij_matrix.csv`. The notebook treats all row and column labels in this restricted matrix as excitatory nodes, clips negative weights out of the candidate transition graph, and sets the diagonal to zero before path search.</w:t>
      </w:r>
    </w:p>
    <w:p>
      <w:pPr>
        <w:pStyle w:val="Heading1"/>
      </w:pPr>
      <w:r>
        <w:t>2. Data scope and graph assumptions</w:t>
      </w:r>
    </w:p>
    <w:tbl>
      <w:tblGrid>
        <w:gridCol w:w="2520"/>
        <w:gridCol w:w="6840"/>
      </w:tblGrid>
      <w:tblPr>
        <w:tblStyle w:val="TableGrid"/>
        <w:tblW w:type="dxa" w:w="9360"/>
        <w:jc w:val="left"/>
        <w:tblLayout w:type="fixed"/>
        <w:tblLook w:firstColumn="1" w:firstRow="1" w:lastColumn="0" w:lastRow="0" w:noHBand="0" w:noVBand="1" w:val="04A0"/>
      </w:tblPr>
      <w:tr>
        <w:tc>
          <w:tcPr>
            <w:tcW w:type="dxa" w:w="2520"/>
            <w:shd w:fill="F2F4F7"/>
            <w:vAlign w:val="center"/>
            <w:tcMar>
              <w:top w:w="80" w:type="dxa"/>
              <w:bottom w:w="80" w:type="dxa"/>
              <w:start w:w="120" w:type="dxa"/>
              <w:end w:w="120" w:type="dxa"/>
            </w:tcMar>
          </w:tcPr>
          <w:p>
            <w:r>
              <w:t>Item</w:t>
            </w:r>
          </w:p>
        </w:tc>
        <w:tc>
          <w:tcPr>
            <w:tcW w:type="dxa" w:w="6840"/>
            <w:shd w:fill="F2F4F7"/>
            <w:vAlign w:val="center"/>
            <w:tcMar>
              <w:top w:w="80" w:type="dxa"/>
              <w:bottom w:w="80" w:type="dxa"/>
              <w:start w:w="120" w:type="dxa"/>
              <w:end w:w="120" w:type="dxa"/>
            </w:tcMar>
          </w:tcPr>
          <w:p>
            <w:r>
              <w:t>Current setting</w:t>
            </w:r>
          </w:p>
        </w:tc>
      </w:tr>
      <w:tr>
        <w:tc>
          <w:tcPr>
            <w:tcW w:type="dxa" w:w="2520"/>
            <w:vAlign w:val="center"/>
            <w:tcMar>
              <w:top w:w="80" w:type="dxa"/>
              <w:bottom w:w="80" w:type="dxa"/>
              <w:start w:w="120" w:type="dxa"/>
              <w:end w:w="120" w:type="dxa"/>
            </w:tcMar>
          </w:tcPr>
          <w:p>
            <w:r>
              <w:t>Input matrix</w:t>
            </w:r>
          </w:p>
        </w:tc>
        <w:tc>
          <w:tcPr>
            <w:tcW w:type="dxa" w:w="6840"/>
            <w:vAlign w:val="center"/>
            <w:tcMar>
              <w:top w:w="80" w:type="dxa"/>
              <w:bottom w:w="80" w:type="dxa"/>
              <w:start w:w="120" w:type="dxa"/>
              <w:end w:w="120" w:type="dxa"/>
            </w:tcMar>
          </w:tcPr>
          <w:p>
            <w:r>
              <w:t>matrices/mij_EE_matrix.csv</w:t>
            </w:r>
          </w:p>
        </w:tc>
      </w:tr>
      <w:tr>
        <w:tc>
          <w:tcPr>
            <w:tcW w:type="dxa" w:w="2520"/>
            <w:vAlign w:val="center"/>
            <w:tcMar>
              <w:top w:w="80" w:type="dxa"/>
              <w:bottom w:w="80" w:type="dxa"/>
              <w:start w:w="120" w:type="dxa"/>
              <w:end w:w="120" w:type="dxa"/>
            </w:tcMar>
          </w:tcPr>
          <w:p>
            <w:r>
              <w:t>Nodes</w:t>
            </w:r>
          </w:p>
        </w:tc>
        <w:tc>
          <w:tcPr>
            <w:tcW w:type="dxa" w:w="6840"/>
            <w:vAlign w:val="center"/>
            <w:tcMar>
              <w:top w:w="80" w:type="dxa"/>
              <w:bottom w:w="80" w:type="dxa"/>
              <w:start w:w="120" w:type="dxa"/>
              <w:end w:w="120" w:type="dxa"/>
            </w:tcMar>
          </w:tcPr>
          <w:p>
            <w:r>
              <w:t>32 excitatory nodes</w:t>
            </w:r>
          </w:p>
        </w:tc>
      </w:tr>
      <w:tr>
        <w:tc>
          <w:tcPr>
            <w:tcW w:type="dxa" w:w="2520"/>
            <w:vAlign w:val="center"/>
            <w:tcMar>
              <w:top w:w="80" w:type="dxa"/>
              <w:bottom w:w="80" w:type="dxa"/>
              <w:start w:w="120" w:type="dxa"/>
              <w:end w:w="120" w:type="dxa"/>
            </w:tcMar>
          </w:tcPr>
          <w:p>
            <w:r>
              <w:t>Candidate directed E-to-E edges</w:t>
            </w:r>
          </w:p>
        </w:tc>
        <w:tc>
          <w:tcPr>
            <w:tcW w:type="dxa" w:w="6840"/>
            <w:vAlign w:val="center"/>
            <w:tcMar>
              <w:top w:w="80" w:type="dxa"/>
              <w:bottom w:w="80" w:type="dxa"/>
              <w:start w:w="120" w:type="dxa"/>
              <w:end w:w="120" w:type="dxa"/>
            </w:tcMar>
          </w:tcPr>
          <w:p>
            <w:r>
              <w:t>355 positive off-diagonal transitions</w:t>
            </w:r>
          </w:p>
        </w:tc>
      </w:tr>
      <w:tr>
        <w:tc>
          <w:tcPr>
            <w:tcW w:type="dxa" w:w="2520"/>
            <w:vAlign w:val="center"/>
            <w:tcMar>
              <w:top w:w="80" w:type="dxa"/>
              <w:bottom w:w="80" w:type="dxa"/>
              <w:start w:w="120" w:type="dxa"/>
              <w:end w:w="120" w:type="dxa"/>
            </w:tcMar>
          </w:tcPr>
          <w:p>
            <w:r>
              <w:t>Self-connections</w:t>
            </w:r>
          </w:p>
        </w:tc>
        <w:tc>
          <w:tcPr>
            <w:tcW w:type="dxa" w:w="6840"/>
            <w:vAlign w:val="center"/>
            <w:tcMar>
              <w:top w:w="80" w:type="dxa"/>
              <w:bottom w:w="80" w:type="dxa"/>
              <w:start w:w="120" w:type="dxa"/>
              <w:end w:w="120" w:type="dxa"/>
            </w:tcMar>
          </w:tcPr>
          <w:p>
            <w:r>
              <w:t>27 nonzero diagonal entries; 27 are positive</w:t>
            </w:r>
          </w:p>
        </w:tc>
      </w:tr>
      <w:tr>
        <w:tc>
          <w:tcPr>
            <w:tcW w:type="dxa" w:w="2520"/>
            <w:vAlign w:val="center"/>
            <w:tcMar>
              <w:top w:w="80" w:type="dxa"/>
              <w:bottom w:w="80" w:type="dxa"/>
              <w:start w:w="120" w:type="dxa"/>
              <w:end w:w="120" w:type="dxa"/>
            </w:tcMar>
          </w:tcPr>
          <w:p>
            <w:r>
              <w:t>Diagonal handling</w:t>
            </w:r>
          </w:p>
        </w:tc>
        <w:tc>
          <w:tcPr>
            <w:tcW w:type="dxa" w:w="6840"/>
            <w:vAlign w:val="center"/>
            <w:tcMar>
              <w:top w:w="80" w:type="dxa"/>
              <w:bottom w:w="80" w:type="dxa"/>
              <w:start w:w="120" w:type="dxa"/>
              <w:end w:w="120" w:type="dxa"/>
            </w:tcMar>
          </w:tcPr>
          <w:p>
            <w:r>
              <w:t>Excluded from all current path-scoring methods</w:t>
            </w:r>
          </w:p>
        </w:tc>
      </w:tr>
      <w:tr>
        <w:tc>
          <w:tcPr>
            <w:tcW w:type="dxa" w:w="2520"/>
            <w:vAlign w:val="center"/>
            <w:tcMar>
              <w:top w:w="80" w:type="dxa"/>
              <w:bottom w:w="80" w:type="dxa"/>
              <w:start w:w="120" w:type="dxa"/>
              <w:end w:w="120" w:type="dxa"/>
            </w:tcMar>
          </w:tcPr>
          <w:p>
            <w:r>
              <w:t>Graph structure</w:t>
            </w:r>
          </w:p>
        </w:tc>
        <w:tc>
          <w:tcPr>
            <w:tcW w:type="dxa" w:w="6840"/>
            <w:vAlign w:val="center"/>
            <w:tcMar>
              <w:top w:w="80" w:type="dxa"/>
              <w:bottom w:w="80" w:type="dxa"/>
              <w:start w:w="120" w:type="dxa"/>
              <w:end w:w="120" w:type="dxa"/>
            </w:tcMar>
          </w:tcPr>
          <w:p>
            <w:r>
              <w:t>Directed and cyclic; not a DAG</w:t>
            </w:r>
          </w:p>
        </w:tc>
      </w:tr>
    </w:tbl>
    <w:p>
      <w:r>
        <w:rPr>
          <w:rFonts w:ascii="Calibri" w:hAnsi="Calibri"/>
          <w:b w:val="0"/>
          <w:i w:val="0"/>
          <w:color w:val="000000"/>
        </w:rPr>
        <w:t>The cyclic structure is important. A DAG longest-path algorithm would not apply, and allowing repeated nodes would make a positive cycle reusable. For that reason, the exact and heuristic path methods enforce simple paths: once a node is used, it cannot be revisited.</w:t>
      </w:r>
    </w:p>
    <w:p>
      <w:pPr>
        <w:pStyle w:val="Heading1"/>
      </w:pPr>
      <w:r>
        <w:t>3. Methods compared</w:t>
      </w:r>
    </w:p>
    <w:p>
      <w:r>
        <w:rPr>
          <w:rFonts w:ascii="Calibri" w:hAnsi="Calibri"/>
          <w:b w:val="0"/>
          <w:i w:val="0"/>
          <w:color w:val="000000"/>
        </w:rPr>
        <w:t>The methods are intentionally diverse. Some are fast heuristics, some are bounded searches, and the MILP variants are solver-backed formulations that can certify optimality when the solver status is Optimal.</w:t>
      </w:r>
    </w:p>
    <w:tbl>
      <w:tblGrid>
        <w:gridCol w:w="2592"/>
        <w:gridCol w:w="2448"/>
        <w:gridCol w:w="4320"/>
      </w:tblGrid>
      <w:tblPr>
        <w:tblStyle w:val="TableGrid"/>
        <w:tblW w:type="dxa" w:w="9360"/>
        <w:jc w:val="left"/>
        <w:tblLayout w:type="fixed"/>
        <w:tblLook w:firstColumn="1" w:firstRow="1" w:lastColumn="0" w:lastRow="0" w:noHBand="0" w:noVBand="1" w:val="04A0"/>
      </w:tblPr>
      <w:tr>
        <w:tc>
          <w:tcPr>
            <w:tcW w:type="dxa" w:w="2592"/>
            <w:shd w:fill="F2F4F7"/>
            <w:vAlign w:val="center"/>
            <w:tcMar>
              <w:top w:w="80" w:type="dxa"/>
              <w:bottom w:w="80" w:type="dxa"/>
              <w:start w:w="120" w:type="dxa"/>
              <w:end w:w="120" w:type="dxa"/>
            </w:tcMar>
          </w:tcPr>
          <w:p>
            <w:r>
              <w:rPr>
                <w:rFonts w:ascii="Calibri" w:hAnsi="Calibri"/>
                <w:b w:val="0"/>
                <w:sz w:val="19"/>
              </w:rPr>
              <w:t>Method</w:t>
            </w:r>
          </w:p>
        </w:tc>
        <w:tc>
          <w:tcPr>
            <w:tcW w:type="dxa" w:w="2448"/>
            <w:shd w:fill="F2F4F7"/>
            <w:vAlign w:val="center"/>
            <w:tcMar>
              <w:top w:w="80" w:type="dxa"/>
              <w:bottom w:w="80" w:type="dxa"/>
              <w:start w:w="120" w:type="dxa"/>
              <w:end w:w="120" w:type="dxa"/>
            </w:tcMar>
          </w:tcPr>
          <w:p>
            <w:r>
              <w:rPr>
                <w:rFonts w:ascii="Calibri" w:hAnsi="Calibri"/>
                <w:b w:val="0"/>
                <w:sz w:val="19"/>
              </w:rPr>
              <w:t>Why included</w:t>
            </w:r>
          </w:p>
        </w:tc>
        <w:tc>
          <w:tcPr>
            <w:tcW w:type="dxa" w:w="4320"/>
            <w:shd w:fill="F2F4F7"/>
            <w:vAlign w:val="center"/>
            <w:tcMar>
              <w:top w:w="80" w:type="dxa"/>
              <w:bottom w:w="80" w:type="dxa"/>
              <w:start w:w="120" w:type="dxa"/>
              <w:end w:w="120" w:type="dxa"/>
            </w:tcMar>
          </w:tcPr>
          <w:p>
            <w:r>
              <w:rPr>
                <w:rFonts w:ascii="Calibri" w:hAnsi="Calibri"/>
                <w:b w:val="0"/>
                <w:sz w:val="19"/>
              </w:rPr>
              <w:t>How to interpret it</w:t>
            </w:r>
          </w:p>
        </w:tc>
      </w:tr>
      <w:tr>
        <w:tc>
          <w:tcPr>
            <w:tcW w:type="dxa" w:w="2592"/>
            <w:vAlign w:val="center"/>
            <w:tcMar>
              <w:top w:w="80" w:type="dxa"/>
              <w:bottom w:w="80" w:type="dxa"/>
              <w:start w:w="120" w:type="dxa"/>
              <w:end w:w="120" w:type="dxa"/>
            </w:tcMar>
          </w:tcPr>
          <w:p>
            <w:r>
              <w:rPr>
                <w:rFonts w:ascii="Calibri" w:hAnsi="Calibri"/>
                <w:b w:val="0"/>
                <w:sz w:val="19"/>
              </w:rPr>
              <w:t>Greedy tree/path</w:t>
            </w:r>
          </w:p>
        </w:tc>
        <w:tc>
          <w:tcPr>
            <w:tcW w:type="dxa" w:w="2448"/>
            <w:vAlign w:val="center"/>
            <w:tcMar>
              <w:top w:w="80" w:type="dxa"/>
              <w:bottom w:w="80" w:type="dxa"/>
              <w:start w:w="120" w:type="dxa"/>
              <w:end w:w="120" w:type="dxa"/>
            </w:tcMar>
          </w:tcPr>
          <w:p>
            <w:r>
              <w:rPr>
                <w:rFonts w:ascii="Calibri" w:hAnsi="Calibri"/>
                <w:b w:val="0"/>
                <w:sz w:val="19"/>
              </w:rPr>
              <w:t>Fast local baseline.</w:t>
            </w:r>
          </w:p>
        </w:tc>
        <w:tc>
          <w:tcPr>
            <w:tcW w:type="dxa" w:w="4320"/>
            <w:vAlign w:val="center"/>
            <w:tcMar>
              <w:top w:w="80" w:type="dxa"/>
              <w:bottom w:w="80" w:type="dxa"/>
              <w:start w:w="120" w:type="dxa"/>
              <w:end w:w="120" w:type="dxa"/>
            </w:tcMar>
          </w:tcPr>
          <w:p>
            <w:r>
              <w:rPr>
                <w:rFonts w:ascii="Calibri" w:hAnsi="Calibri"/>
                <w:b w:val="0"/>
                <w:sz w:val="19"/>
              </w:rPr>
              <w:t>Shows what is recovered by repeatedly taking the strongest available outgoing edge.</w:t>
            </w:r>
          </w:p>
        </w:tc>
      </w:tr>
      <w:tr>
        <w:tc>
          <w:tcPr>
            <w:tcW w:type="dxa" w:w="2592"/>
            <w:vAlign w:val="center"/>
            <w:tcMar>
              <w:top w:w="80" w:type="dxa"/>
              <w:bottom w:w="80" w:type="dxa"/>
              <w:start w:w="120" w:type="dxa"/>
              <w:end w:w="120" w:type="dxa"/>
            </w:tcMar>
          </w:tcPr>
          <w:p>
            <w:r>
              <w:rPr>
                <w:rFonts w:ascii="Calibri" w:hAnsi="Calibri"/>
                <w:b w:val="0"/>
                <w:sz w:val="19"/>
              </w:rPr>
              <w:t>Maximum spanning tree path</w:t>
            </w:r>
          </w:p>
        </w:tc>
        <w:tc>
          <w:tcPr>
            <w:tcW w:type="dxa" w:w="2448"/>
            <w:vAlign w:val="center"/>
            <w:tcMar>
              <w:top w:w="80" w:type="dxa"/>
              <w:bottom w:w="80" w:type="dxa"/>
              <w:start w:w="120" w:type="dxa"/>
              <w:end w:w="120" w:type="dxa"/>
            </w:tcMar>
          </w:tcPr>
          <w:p>
            <w:r>
              <w:rPr>
                <w:rFonts w:ascii="Calibri" w:hAnsi="Calibri"/>
                <w:b w:val="0"/>
                <w:sz w:val="19"/>
              </w:rPr>
              <w:t>Sparse structural skeleton.</w:t>
            </w:r>
          </w:p>
        </w:tc>
        <w:tc>
          <w:tcPr>
            <w:tcW w:type="dxa" w:w="4320"/>
            <w:vAlign w:val="center"/>
            <w:tcMar>
              <w:top w:w="80" w:type="dxa"/>
              <w:bottom w:w="80" w:type="dxa"/>
              <w:start w:w="120" w:type="dxa"/>
              <w:end w:w="120" w:type="dxa"/>
            </w:tcMar>
          </w:tcPr>
          <w:p>
            <w:r>
              <w:rPr>
                <w:rFonts w:ascii="Calibri" w:hAnsi="Calibri"/>
                <w:b w:val="0"/>
                <w:sz w:val="19"/>
              </w:rPr>
              <w:t>Collapses the graph into high-weight non-cycling undirected structure, then scores directed paths through it.</w:t>
            </w:r>
          </w:p>
        </w:tc>
      </w:tr>
      <w:tr>
        <w:tc>
          <w:tcPr>
            <w:tcW w:type="dxa" w:w="2592"/>
            <w:vAlign w:val="center"/>
            <w:tcMar>
              <w:top w:w="80" w:type="dxa"/>
              <w:bottom w:w="80" w:type="dxa"/>
              <w:start w:w="120" w:type="dxa"/>
              <w:end w:w="120" w:type="dxa"/>
            </w:tcMar>
          </w:tcPr>
          <w:p>
            <w:r>
              <w:rPr>
                <w:rFonts w:ascii="Calibri" w:hAnsi="Calibri"/>
                <w:b w:val="0"/>
                <w:sz w:val="19"/>
              </w:rPr>
              <w:t>Branch-and-bound</w:t>
            </w:r>
          </w:p>
        </w:tc>
        <w:tc>
          <w:tcPr>
            <w:tcW w:type="dxa" w:w="2448"/>
            <w:vAlign w:val="center"/>
            <w:tcMar>
              <w:top w:w="80" w:type="dxa"/>
              <w:bottom w:w="80" w:type="dxa"/>
              <w:start w:w="120" w:type="dxa"/>
              <w:end w:w="120" w:type="dxa"/>
            </w:tcMar>
          </w:tcPr>
          <w:p>
            <w:r>
              <w:rPr>
                <w:rFonts w:ascii="Calibri" w:hAnsi="Calibri"/>
                <w:b w:val="0"/>
                <w:sz w:val="19"/>
              </w:rPr>
              <w:t>Bounded exhaustive search.</w:t>
            </w:r>
          </w:p>
        </w:tc>
        <w:tc>
          <w:tcPr>
            <w:tcW w:type="dxa" w:w="4320"/>
            <w:vAlign w:val="center"/>
            <w:tcMar>
              <w:top w:w="80" w:type="dxa"/>
              <w:bottom w:w="80" w:type="dxa"/>
              <w:start w:w="120" w:type="dxa"/>
              <w:end w:w="120" w:type="dxa"/>
            </w:tcMar>
          </w:tcPr>
          <w:p>
            <w:r>
              <w:rPr>
                <w:rFonts w:ascii="Calibri" w:hAnsi="Calibri"/>
                <w:b w:val="0"/>
                <w:sz w:val="19"/>
              </w:rPr>
              <w:t>Prunes partial paths whose optimistic upper bound cannot beat the current best path.</w:t>
            </w:r>
          </w:p>
        </w:tc>
      </w:tr>
      <w:tr>
        <w:tc>
          <w:tcPr>
            <w:tcW w:type="dxa" w:w="2592"/>
            <w:vAlign w:val="center"/>
            <w:tcMar>
              <w:top w:w="80" w:type="dxa"/>
              <w:bottom w:w="80" w:type="dxa"/>
              <w:start w:w="120" w:type="dxa"/>
              <w:end w:w="120" w:type="dxa"/>
            </w:tcMar>
          </w:tcPr>
          <w:p>
            <w:r>
              <w:rPr>
                <w:rFonts w:ascii="Calibri" w:hAnsi="Calibri"/>
                <w:b w:val="0"/>
                <w:sz w:val="19"/>
              </w:rPr>
              <w:t>Dynamic programming / beam DP</w:t>
            </w:r>
          </w:p>
        </w:tc>
        <w:tc>
          <w:tcPr>
            <w:tcW w:type="dxa" w:w="2448"/>
            <w:vAlign w:val="center"/>
            <w:tcMar>
              <w:top w:w="80" w:type="dxa"/>
              <w:bottom w:w="80" w:type="dxa"/>
              <w:start w:w="120" w:type="dxa"/>
              <w:end w:w="120" w:type="dxa"/>
            </w:tcMar>
          </w:tcPr>
          <w:p>
            <w:r>
              <w:rPr>
                <w:rFonts w:ascii="Calibri" w:hAnsi="Calibri"/>
                <w:b w:val="0"/>
                <w:sz w:val="19"/>
              </w:rPr>
              <w:t>Subset-state search or approximation.</w:t>
            </w:r>
          </w:p>
        </w:tc>
        <w:tc>
          <w:tcPr>
            <w:tcW w:type="dxa" w:w="4320"/>
            <w:vAlign w:val="center"/>
            <w:tcMar>
              <w:top w:w="80" w:type="dxa"/>
              <w:bottom w:w="80" w:type="dxa"/>
              <w:start w:w="120" w:type="dxa"/>
              <w:end w:w="120" w:type="dxa"/>
            </w:tcMar>
          </w:tcPr>
          <w:p>
            <w:r>
              <w:rPr>
                <w:rFonts w:ascii="Calibri" w:hAnsi="Calibri"/>
                <w:b w:val="0"/>
                <w:sz w:val="19"/>
              </w:rPr>
              <w:t>Exact only when the node set is small enough; beam mode keeps the strongest states for tractability.</w:t>
            </w:r>
          </w:p>
        </w:tc>
      </w:tr>
      <w:tr>
        <w:tc>
          <w:tcPr>
            <w:tcW w:type="dxa" w:w="2592"/>
            <w:vAlign w:val="center"/>
            <w:tcMar>
              <w:top w:w="80" w:type="dxa"/>
              <w:bottom w:w="80" w:type="dxa"/>
              <w:start w:w="120" w:type="dxa"/>
              <w:end w:w="120" w:type="dxa"/>
            </w:tcMar>
          </w:tcPr>
          <w:p>
            <w:r>
              <w:rPr>
                <w:rFonts w:ascii="Calibri" w:hAnsi="Calibri"/>
                <w:b w:val="0"/>
                <w:sz w:val="19"/>
              </w:rPr>
              <w:t>MILP, maximum simple path</w:t>
            </w:r>
          </w:p>
        </w:tc>
        <w:tc>
          <w:tcPr>
            <w:tcW w:type="dxa" w:w="2448"/>
            <w:vAlign w:val="center"/>
            <w:tcMar>
              <w:top w:w="80" w:type="dxa"/>
              <w:bottom w:w="80" w:type="dxa"/>
              <w:start w:w="120" w:type="dxa"/>
              <w:end w:w="120" w:type="dxa"/>
            </w:tcMar>
          </w:tcPr>
          <w:p>
            <w:r>
              <w:rPr>
                <w:rFonts w:ascii="Calibri" w:hAnsi="Calibri"/>
                <w:b w:val="0"/>
                <w:sz w:val="19"/>
              </w:rPr>
              <w:t>Exact maximizing benchmark.</w:t>
            </w:r>
          </w:p>
        </w:tc>
        <w:tc>
          <w:tcPr>
            <w:tcW w:type="dxa" w:w="4320"/>
            <w:vAlign w:val="center"/>
            <w:tcMar>
              <w:top w:w="80" w:type="dxa"/>
              <w:bottom w:w="80" w:type="dxa"/>
              <w:start w:w="120" w:type="dxa"/>
              <w:end w:w="120" w:type="dxa"/>
            </w:tcMar>
          </w:tcPr>
          <w:p>
            <w:r>
              <w:rPr>
                <w:rFonts w:ascii="Calibri" w:hAnsi="Calibri"/>
                <w:b w:val="0"/>
                <w:sz w:val="19"/>
              </w:rPr>
              <w:t>Uses binary edge/node variables and MTZ order constraints to optimize a single simple path from each seed.</w:t>
            </w:r>
          </w:p>
        </w:tc>
      </w:tr>
      <w:tr>
        <w:tc>
          <w:tcPr>
            <w:tcW w:type="dxa" w:w="2592"/>
            <w:vAlign w:val="center"/>
            <w:tcMar>
              <w:top w:w="80" w:type="dxa"/>
              <w:bottom w:w="80" w:type="dxa"/>
              <w:start w:w="120" w:type="dxa"/>
              <w:end w:w="120" w:type="dxa"/>
            </w:tcMar>
          </w:tcPr>
          <w:p>
            <w:r>
              <w:rPr>
                <w:rFonts w:ascii="Calibri" w:hAnsi="Calibri"/>
                <w:b w:val="0"/>
                <w:sz w:val="19"/>
              </w:rPr>
              <w:t>Maximum-weight asymmetric Hamiltonian path</w:t>
            </w:r>
          </w:p>
        </w:tc>
        <w:tc>
          <w:tcPr>
            <w:tcW w:type="dxa" w:w="2448"/>
            <w:vAlign w:val="center"/>
            <w:tcMar>
              <w:top w:w="80" w:type="dxa"/>
              <w:bottom w:w="80" w:type="dxa"/>
              <w:start w:w="120" w:type="dxa"/>
              <w:end w:w="120" w:type="dxa"/>
            </w:tcMar>
          </w:tcPr>
          <w:p>
            <w:r>
              <w:rPr>
                <w:rFonts w:ascii="Calibri" w:hAnsi="Calibri"/>
                <w:b w:val="0"/>
                <w:sz w:val="19"/>
              </w:rPr>
              <w:t>Complete directed ordering.</w:t>
            </w:r>
          </w:p>
        </w:tc>
        <w:tc>
          <w:tcPr>
            <w:tcW w:type="dxa" w:w="4320"/>
            <w:vAlign w:val="center"/>
            <w:tcMar>
              <w:top w:w="80" w:type="dxa"/>
              <w:bottom w:w="80" w:type="dxa"/>
              <w:start w:w="120" w:type="dxa"/>
              <w:end w:w="120" w:type="dxa"/>
            </w:tcMar>
          </w:tcPr>
          <w:p>
            <w:r>
              <w:rPr>
                <w:rFonts w:ascii="Calibri" w:hAnsi="Calibri"/>
                <w:b w:val="0"/>
                <w:sz w:val="19"/>
              </w:rPr>
              <w:t>Forces all 32 excitatory nodes to appear exactly once, preserving directed edge asymmetry.</w:t>
            </w:r>
          </w:p>
        </w:tc>
      </w:tr>
    </w:tbl>
    <w:p>
      <w:pPr>
        <w:pStyle w:val="Heading1"/>
      </w:pPr>
      <w:r>
        <w:t>4. Current results</w:t>
      </w:r>
    </w:p>
    <w:p>
      <w:r>
        <w:rPr>
          <w:rFonts w:ascii="Calibri" w:hAnsi="Calibri"/>
          <w:b w:val="0"/>
          <w:i w:val="0"/>
          <w:color w:val="000000"/>
        </w:rPr>
        <w:t>Both solver-backed methods completed successfully: the unconstrained MILP returned `Optimal` for all 32 seed nodes, and the Hamiltonian MILP returned `Optimal` for all 32 seed nodes. Hamiltonian paths contain 31 edges for every seed, as expected for a 32-node path.</w:t>
      </w:r>
    </w:p>
    <w:p>
      <w:pPr>
        <w:jc w:val="center"/>
      </w:pPr>
      <w:r>
        <w:drawing>
          <wp:inline xmlns:a="http://schemas.openxmlformats.org/drawingml/2006/main" xmlns:pic="http://schemas.openxmlformats.org/drawingml/2006/picture">
            <wp:extent cx="5760720" cy="2688336"/>
            <wp:docPr id="1" name="Picture 1" title="Mean summed path weight by method" descr="Horizontal bar chart showing the unconstrained MILP has the highest mean summed path weight, followed by the Hamiltonian path, branch-and-bound, greedy, dynamic programming, and maximum spanning tree methods."/>
            <wp:cNvGraphicFramePr>
              <a:graphicFrameLocks noChangeAspect="1"/>
            </wp:cNvGraphicFramePr>
            <a:graphic>
              <a:graphicData uri="http://schemas.openxmlformats.org/drawingml/2006/picture">
                <pic:pic>
                  <pic:nvPicPr>
                    <pic:cNvPr id="0" name="method_mean_weights.png"/>
                    <pic:cNvPicPr/>
                  </pic:nvPicPr>
                  <pic:blipFill>
                    <a:blip r:embed="rId11"/>
                    <a:stretch>
                      <a:fillRect/>
                    </a:stretch>
                  </pic:blipFill>
                  <pic:spPr>
                    <a:xfrm>
                      <a:off x="0" y="0"/>
                      <a:ext cx="5760720" cy="2688336"/>
                    </a:xfrm>
                    <a:prstGeom prst="rect"/>
                  </pic:spPr>
                </pic:pic>
              </a:graphicData>
            </a:graphic>
          </wp:inline>
        </w:drawing>
      </w:r>
    </w:p>
    <w:p>
      <w:pPr>
        <w:jc w:val="center"/>
      </w:pPr>
      <w:r>
        <w:rPr>
          <w:rFonts w:ascii="Calibri" w:hAnsi="Calibri"/>
          <w:i/>
          <w:color w:val="555555"/>
          <w:sz w:val="18"/>
        </w:rPr>
        <w:t>Figure 1. Mean summed path weight by method.</w:t>
      </w:r>
    </w:p>
    <w:tbl>
      <w:tblGrid>
        <w:gridCol w:w="3528"/>
        <w:gridCol w:w="1440"/>
        <w:gridCol w:w="1440"/>
        <w:gridCol w:w="1296"/>
        <w:gridCol w:w="1655"/>
      </w:tblGrid>
      <w:tblPr>
        <w:tblStyle w:val="TableGrid"/>
        <w:tblW w:type="dxa" w:w="9360"/>
        <w:jc w:val="left"/>
        <w:tblLayout w:type="fixed"/>
        <w:tblLook w:firstColumn="1" w:firstRow="1" w:lastColumn="0" w:lastRow="0" w:noHBand="0" w:noVBand="1" w:val="04A0"/>
      </w:tblPr>
      <w:tr>
        <w:tc>
          <w:tcPr>
            <w:tcW w:type="dxa" w:w="3528"/>
            <w:shd w:fill="F2F4F7"/>
            <w:vAlign w:val="center"/>
            <w:tcMar>
              <w:top w:w="80" w:type="dxa"/>
              <w:bottom w:w="80" w:type="dxa"/>
              <w:start w:w="120" w:type="dxa"/>
              <w:end w:w="120" w:type="dxa"/>
            </w:tcMar>
          </w:tcPr>
          <w:p>
            <w:r>
              <w:rPr>
                <w:rFonts w:ascii="Calibri" w:hAnsi="Calibri"/>
                <w:b/>
                <w:color w:val="000000"/>
              </w:rPr>
              <w:t>Method</w:t>
            </w:r>
          </w:p>
        </w:tc>
        <w:tc>
          <w:tcPr>
            <w:tcW w:type="dxa" w:w="1440"/>
            <w:shd w:fill="F2F4F7"/>
            <w:vAlign w:val="center"/>
            <w:tcMar>
              <w:top w:w="80" w:type="dxa"/>
              <w:bottom w:w="80" w:type="dxa"/>
              <w:start w:w="120" w:type="dxa"/>
              <w:end w:w="120" w:type="dxa"/>
            </w:tcMar>
          </w:tcPr>
          <w:p>
            <w:r>
              <w:rPr>
                <w:rFonts w:ascii="Calibri" w:hAnsi="Calibri"/>
                <w:b/>
                <w:color w:val="000000"/>
              </w:rPr>
              <w:t>Mean weight</w:t>
            </w:r>
          </w:p>
        </w:tc>
        <w:tc>
          <w:tcPr>
            <w:tcW w:type="dxa" w:w="1440"/>
            <w:shd w:fill="F2F4F7"/>
            <w:vAlign w:val="center"/>
            <w:tcMar>
              <w:top w:w="80" w:type="dxa"/>
              <w:bottom w:w="80" w:type="dxa"/>
              <w:start w:w="120" w:type="dxa"/>
              <w:end w:w="120" w:type="dxa"/>
            </w:tcMar>
          </w:tcPr>
          <w:p>
            <w:r>
              <w:rPr>
                <w:rFonts w:ascii="Calibri" w:hAnsi="Calibri"/>
                <w:b/>
                <w:color w:val="000000"/>
              </w:rPr>
              <w:t>Median weight</w:t>
            </w:r>
          </w:p>
        </w:tc>
        <w:tc>
          <w:tcPr>
            <w:tcW w:type="dxa" w:w="1296"/>
            <w:shd w:fill="F2F4F7"/>
            <w:vAlign w:val="center"/>
            <w:tcMar>
              <w:top w:w="80" w:type="dxa"/>
              <w:bottom w:w="80" w:type="dxa"/>
              <w:start w:w="120" w:type="dxa"/>
              <w:end w:w="120" w:type="dxa"/>
            </w:tcMar>
          </w:tcPr>
          <w:p>
            <w:r>
              <w:rPr>
                <w:rFonts w:ascii="Calibri" w:hAnsi="Calibri"/>
                <w:b/>
                <w:color w:val="000000"/>
              </w:rPr>
              <w:t>Mean edges</w:t>
            </w:r>
          </w:p>
        </w:tc>
        <w:tc>
          <w:tcPr>
            <w:tcW w:type="dxa" w:w="1655"/>
            <w:shd w:fill="F2F4F7"/>
            <w:vAlign w:val="center"/>
            <w:tcMar>
              <w:top w:w="80" w:type="dxa"/>
              <w:bottom w:w="80" w:type="dxa"/>
              <w:start w:w="120" w:type="dxa"/>
              <w:end w:w="120" w:type="dxa"/>
            </w:tcMar>
          </w:tcPr>
          <w:p>
            <w:r>
              <w:rPr>
                <w:rFonts w:ascii="Calibri" w:hAnsi="Calibri"/>
                <w:b/>
                <w:color w:val="000000"/>
              </w:rPr>
              <w:t>Max weight</w:t>
            </w:r>
          </w:p>
        </w:tc>
      </w:tr>
      <w:tr>
        <w:tc>
          <w:tcPr>
            <w:tcW w:type="dxa" w:w="3528"/>
            <w:vAlign w:val="center"/>
            <w:tcMar>
              <w:top w:w="80" w:type="dxa"/>
              <w:bottom w:w="80" w:type="dxa"/>
              <w:start w:w="120" w:type="dxa"/>
              <w:end w:w="120" w:type="dxa"/>
            </w:tcMar>
          </w:tcPr>
          <w:p>
            <w:r>
              <w:rPr>
                <w:rFonts w:ascii="Calibri" w:hAnsi="Calibri"/>
                <w:sz w:val="20"/>
              </w:rPr>
              <w:t>MILP, maximum simple path</w:t>
            </w:r>
          </w:p>
        </w:tc>
        <w:tc>
          <w:tcPr>
            <w:tcW w:type="dxa" w:w="1440"/>
            <w:vAlign w:val="center"/>
            <w:tcMar>
              <w:top w:w="80" w:type="dxa"/>
              <w:bottom w:w="80" w:type="dxa"/>
              <w:start w:w="120" w:type="dxa"/>
              <w:end w:w="120" w:type="dxa"/>
            </w:tcMar>
          </w:tcPr>
          <w:p>
            <w:r>
              <w:rPr>
                <w:rFonts w:ascii="Calibri" w:hAnsi="Calibri"/>
                <w:sz w:val="20"/>
              </w:rPr>
              <w:t>227,745</w:t>
            </w:r>
          </w:p>
        </w:tc>
        <w:tc>
          <w:tcPr>
            <w:tcW w:type="dxa" w:w="1440"/>
            <w:vAlign w:val="center"/>
            <w:tcMar>
              <w:top w:w="80" w:type="dxa"/>
              <w:bottom w:w="80" w:type="dxa"/>
              <w:start w:w="120" w:type="dxa"/>
              <w:end w:w="120" w:type="dxa"/>
            </w:tcMar>
          </w:tcPr>
          <w:p>
            <w:r>
              <w:rPr>
                <w:rFonts w:ascii="Calibri" w:hAnsi="Calibri"/>
                <w:sz w:val="20"/>
              </w:rPr>
              <w:t>241,065</w:t>
            </w:r>
          </w:p>
        </w:tc>
        <w:tc>
          <w:tcPr>
            <w:tcW w:type="dxa" w:w="1296"/>
            <w:vAlign w:val="center"/>
            <w:tcMar>
              <w:top w:w="80" w:type="dxa"/>
              <w:bottom w:w="80" w:type="dxa"/>
              <w:start w:w="120" w:type="dxa"/>
              <w:end w:w="120" w:type="dxa"/>
            </w:tcMar>
          </w:tcPr>
          <w:p>
            <w:r>
              <w:rPr>
                <w:rFonts w:ascii="Calibri" w:hAnsi="Calibri"/>
                <w:sz w:val="20"/>
              </w:rPr>
              <w:t>28.5</w:t>
            </w:r>
          </w:p>
        </w:tc>
        <w:tc>
          <w:tcPr>
            <w:tcW w:type="dxa" w:w="1655"/>
            <w:vAlign w:val="center"/>
            <w:tcMar>
              <w:top w:w="80" w:type="dxa"/>
              <w:bottom w:w="80" w:type="dxa"/>
              <w:start w:w="120" w:type="dxa"/>
              <w:end w:w="120" w:type="dxa"/>
            </w:tcMar>
          </w:tcPr>
          <w:p>
            <w:r>
              <w:rPr>
                <w:rFonts w:ascii="Calibri" w:hAnsi="Calibri"/>
                <w:sz w:val="20"/>
              </w:rPr>
              <w:t>241,901</w:t>
            </w:r>
          </w:p>
        </w:tc>
      </w:tr>
      <w:tr>
        <w:tc>
          <w:tcPr>
            <w:tcW w:type="dxa" w:w="3528"/>
            <w:vAlign w:val="center"/>
            <w:tcMar>
              <w:top w:w="80" w:type="dxa"/>
              <w:bottom w:w="80" w:type="dxa"/>
              <w:start w:w="120" w:type="dxa"/>
              <w:end w:w="120" w:type="dxa"/>
            </w:tcMar>
          </w:tcPr>
          <w:p>
            <w:r>
              <w:rPr>
                <w:rFonts w:ascii="Calibri" w:hAnsi="Calibri"/>
                <w:sz w:val="20"/>
              </w:rPr>
              <w:t>Hamiltonian path (all nodes)</w:t>
            </w:r>
          </w:p>
        </w:tc>
        <w:tc>
          <w:tcPr>
            <w:tcW w:type="dxa" w:w="1440"/>
            <w:vAlign w:val="center"/>
            <w:tcMar>
              <w:top w:w="80" w:type="dxa"/>
              <w:bottom w:w="80" w:type="dxa"/>
              <w:start w:w="120" w:type="dxa"/>
              <w:end w:w="120" w:type="dxa"/>
            </w:tcMar>
          </w:tcPr>
          <w:p>
            <w:r>
              <w:rPr>
                <w:rFonts w:ascii="Calibri" w:hAnsi="Calibri"/>
                <w:sz w:val="20"/>
              </w:rPr>
              <w:t>204,189</w:t>
            </w:r>
          </w:p>
        </w:tc>
        <w:tc>
          <w:tcPr>
            <w:tcW w:type="dxa" w:w="1440"/>
            <w:vAlign w:val="center"/>
            <w:tcMar>
              <w:top w:w="80" w:type="dxa"/>
              <w:bottom w:w="80" w:type="dxa"/>
              <w:start w:w="120" w:type="dxa"/>
              <w:end w:w="120" w:type="dxa"/>
            </w:tcMar>
          </w:tcPr>
          <w:p>
            <w:r>
              <w:rPr>
                <w:rFonts w:ascii="Calibri" w:hAnsi="Calibri"/>
                <w:sz w:val="20"/>
              </w:rPr>
              <w:t>222,249</w:t>
            </w:r>
          </w:p>
        </w:tc>
        <w:tc>
          <w:tcPr>
            <w:tcW w:type="dxa" w:w="1296"/>
            <w:vAlign w:val="center"/>
            <w:tcMar>
              <w:top w:w="80" w:type="dxa"/>
              <w:bottom w:w="80" w:type="dxa"/>
              <w:start w:w="120" w:type="dxa"/>
              <w:end w:w="120" w:type="dxa"/>
            </w:tcMar>
          </w:tcPr>
          <w:p>
            <w:r>
              <w:rPr>
                <w:rFonts w:ascii="Calibri" w:hAnsi="Calibri"/>
                <w:sz w:val="20"/>
              </w:rPr>
              <w:t>31.0</w:t>
            </w:r>
          </w:p>
        </w:tc>
        <w:tc>
          <w:tcPr>
            <w:tcW w:type="dxa" w:w="1655"/>
            <w:vAlign w:val="center"/>
            <w:tcMar>
              <w:top w:w="80" w:type="dxa"/>
              <w:bottom w:w="80" w:type="dxa"/>
              <w:start w:w="120" w:type="dxa"/>
              <w:end w:w="120" w:type="dxa"/>
            </w:tcMar>
          </w:tcPr>
          <w:p>
            <w:r>
              <w:rPr>
                <w:rFonts w:ascii="Calibri" w:hAnsi="Calibri"/>
                <w:sz w:val="20"/>
              </w:rPr>
              <w:t>223,059</w:t>
            </w:r>
          </w:p>
        </w:tc>
      </w:tr>
      <w:tr>
        <w:tc>
          <w:tcPr>
            <w:tcW w:type="dxa" w:w="3528"/>
            <w:vAlign w:val="center"/>
            <w:tcMar>
              <w:top w:w="80" w:type="dxa"/>
              <w:bottom w:w="80" w:type="dxa"/>
              <w:start w:w="120" w:type="dxa"/>
              <w:end w:w="120" w:type="dxa"/>
            </w:tcMar>
          </w:tcPr>
          <w:p>
            <w:r>
              <w:rPr>
                <w:rFonts w:ascii="Calibri" w:hAnsi="Calibri"/>
                <w:sz w:val="20"/>
              </w:rPr>
              <w:t>Branch-and-bound</w:t>
            </w:r>
          </w:p>
        </w:tc>
        <w:tc>
          <w:tcPr>
            <w:tcW w:type="dxa" w:w="1440"/>
            <w:vAlign w:val="center"/>
            <w:tcMar>
              <w:top w:w="80" w:type="dxa"/>
              <w:bottom w:w="80" w:type="dxa"/>
              <w:start w:w="120" w:type="dxa"/>
              <w:end w:w="120" w:type="dxa"/>
            </w:tcMar>
          </w:tcPr>
          <w:p>
            <w:r>
              <w:rPr>
                <w:rFonts w:ascii="Calibri" w:hAnsi="Calibri"/>
                <w:sz w:val="20"/>
              </w:rPr>
              <w:t>177,627</w:t>
            </w:r>
          </w:p>
        </w:tc>
        <w:tc>
          <w:tcPr>
            <w:tcW w:type="dxa" w:w="1440"/>
            <w:vAlign w:val="center"/>
            <w:tcMar>
              <w:top w:w="80" w:type="dxa"/>
              <w:bottom w:w="80" w:type="dxa"/>
              <w:start w:w="120" w:type="dxa"/>
              <w:end w:w="120" w:type="dxa"/>
            </w:tcMar>
          </w:tcPr>
          <w:p>
            <w:r>
              <w:rPr>
                <w:rFonts w:ascii="Calibri" w:hAnsi="Calibri"/>
                <w:sz w:val="20"/>
              </w:rPr>
              <w:t>171,725</w:t>
            </w:r>
          </w:p>
        </w:tc>
        <w:tc>
          <w:tcPr>
            <w:tcW w:type="dxa" w:w="1296"/>
            <w:vAlign w:val="center"/>
            <w:tcMar>
              <w:top w:w="80" w:type="dxa"/>
              <w:bottom w:w="80" w:type="dxa"/>
              <w:start w:w="120" w:type="dxa"/>
              <w:end w:w="120" w:type="dxa"/>
            </w:tcMar>
          </w:tcPr>
          <w:p>
            <w:r>
              <w:rPr>
                <w:rFonts w:ascii="Calibri" w:hAnsi="Calibri"/>
                <w:sz w:val="20"/>
              </w:rPr>
              <w:t>25.7</w:t>
            </w:r>
          </w:p>
        </w:tc>
        <w:tc>
          <w:tcPr>
            <w:tcW w:type="dxa" w:w="1655"/>
            <w:vAlign w:val="center"/>
            <w:tcMar>
              <w:top w:w="80" w:type="dxa"/>
              <w:bottom w:w="80" w:type="dxa"/>
              <w:start w:w="120" w:type="dxa"/>
              <w:end w:w="120" w:type="dxa"/>
            </w:tcMar>
          </w:tcPr>
          <w:p>
            <w:r>
              <w:rPr>
                <w:rFonts w:ascii="Calibri" w:hAnsi="Calibri"/>
                <w:sz w:val="20"/>
              </w:rPr>
              <w:t>232,244</w:t>
            </w:r>
          </w:p>
        </w:tc>
      </w:tr>
      <w:tr>
        <w:tc>
          <w:tcPr>
            <w:tcW w:type="dxa" w:w="3528"/>
            <w:vAlign w:val="center"/>
            <w:tcMar>
              <w:top w:w="80" w:type="dxa"/>
              <w:bottom w:w="80" w:type="dxa"/>
              <w:start w:w="120" w:type="dxa"/>
              <w:end w:w="120" w:type="dxa"/>
            </w:tcMar>
          </w:tcPr>
          <w:p>
            <w:r>
              <w:rPr>
                <w:rFonts w:ascii="Calibri" w:hAnsi="Calibri"/>
                <w:sz w:val="20"/>
              </w:rPr>
              <w:t>Greedy tree/path</w:t>
            </w:r>
          </w:p>
        </w:tc>
        <w:tc>
          <w:tcPr>
            <w:tcW w:type="dxa" w:w="1440"/>
            <w:vAlign w:val="center"/>
            <w:tcMar>
              <w:top w:w="80" w:type="dxa"/>
              <w:bottom w:w="80" w:type="dxa"/>
              <w:start w:w="120" w:type="dxa"/>
              <w:end w:w="120" w:type="dxa"/>
            </w:tcMar>
          </w:tcPr>
          <w:p>
            <w:r>
              <w:rPr>
                <w:rFonts w:ascii="Calibri" w:hAnsi="Calibri"/>
                <w:sz w:val="20"/>
              </w:rPr>
              <w:t>125,314</w:t>
            </w:r>
          </w:p>
        </w:tc>
        <w:tc>
          <w:tcPr>
            <w:tcW w:type="dxa" w:w="1440"/>
            <w:vAlign w:val="center"/>
            <w:tcMar>
              <w:top w:w="80" w:type="dxa"/>
              <w:bottom w:w="80" w:type="dxa"/>
              <w:start w:w="120" w:type="dxa"/>
              <w:end w:w="120" w:type="dxa"/>
            </w:tcMar>
          </w:tcPr>
          <w:p>
            <w:r>
              <w:rPr>
                <w:rFonts w:ascii="Calibri" w:hAnsi="Calibri"/>
                <w:sz w:val="20"/>
              </w:rPr>
              <w:t>121,527</w:t>
            </w:r>
          </w:p>
        </w:tc>
        <w:tc>
          <w:tcPr>
            <w:tcW w:type="dxa" w:w="1296"/>
            <w:vAlign w:val="center"/>
            <w:tcMar>
              <w:top w:w="80" w:type="dxa"/>
              <w:bottom w:w="80" w:type="dxa"/>
              <w:start w:w="120" w:type="dxa"/>
              <w:end w:w="120" w:type="dxa"/>
            </w:tcMar>
          </w:tcPr>
          <w:p>
            <w:r>
              <w:rPr>
                <w:rFonts w:ascii="Calibri" w:hAnsi="Calibri"/>
                <w:sz w:val="20"/>
              </w:rPr>
              <w:t>16.7</w:t>
            </w:r>
          </w:p>
        </w:tc>
        <w:tc>
          <w:tcPr>
            <w:tcW w:type="dxa" w:w="1655"/>
            <w:vAlign w:val="center"/>
            <w:tcMar>
              <w:top w:w="80" w:type="dxa"/>
              <w:bottom w:w="80" w:type="dxa"/>
              <w:start w:w="120" w:type="dxa"/>
              <w:end w:w="120" w:type="dxa"/>
            </w:tcMar>
          </w:tcPr>
          <w:p>
            <w:r>
              <w:rPr>
                <w:rFonts w:ascii="Calibri" w:hAnsi="Calibri"/>
                <w:sz w:val="20"/>
              </w:rPr>
              <w:t>195,127</w:t>
            </w:r>
          </w:p>
        </w:tc>
      </w:tr>
      <w:tr>
        <w:tc>
          <w:tcPr>
            <w:tcW w:type="dxa" w:w="3528"/>
            <w:vAlign w:val="center"/>
            <w:tcMar>
              <w:top w:w="80" w:type="dxa"/>
              <w:bottom w:w="80" w:type="dxa"/>
              <w:start w:w="120" w:type="dxa"/>
              <w:end w:w="120" w:type="dxa"/>
            </w:tcMar>
          </w:tcPr>
          <w:p>
            <w:r>
              <w:rPr>
                <w:rFonts w:ascii="Calibri" w:hAnsi="Calibri"/>
                <w:sz w:val="20"/>
              </w:rPr>
              <w:t>Dynamic programming / beam DP</w:t>
            </w:r>
          </w:p>
        </w:tc>
        <w:tc>
          <w:tcPr>
            <w:tcW w:type="dxa" w:w="1440"/>
            <w:vAlign w:val="center"/>
            <w:tcMar>
              <w:top w:w="80" w:type="dxa"/>
              <w:bottom w:w="80" w:type="dxa"/>
              <w:start w:w="120" w:type="dxa"/>
              <w:end w:w="120" w:type="dxa"/>
            </w:tcMar>
          </w:tcPr>
          <w:p>
            <w:r>
              <w:rPr>
                <w:rFonts w:ascii="Calibri" w:hAnsi="Calibri"/>
                <w:sz w:val="20"/>
              </w:rPr>
              <w:t>109,772</w:t>
            </w:r>
          </w:p>
        </w:tc>
        <w:tc>
          <w:tcPr>
            <w:tcW w:type="dxa" w:w="1440"/>
            <w:vAlign w:val="center"/>
            <w:tcMar>
              <w:top w:w="80" w:type="dxa"/>
              <w:bottom w:w="80" w:type="dxa"/>
              <w:start w:w="120" w:type="dxa"/>
              <w:end w:w="120" w:type="dxa"/>
            </w:tcMar>
          </w:tcPr>
          <w:p>
            <w:r>
              <w:rPr>
                <w:rFonts w:ascii="Calibri" w:hAnsi="Calibri"/>
                <w:sz w:val="20"/>
              </w:rPr>
              <w:t>105,454</w:t>
            </w:r>
          </w:p>
        </w:tc>
        <w:tc>
          <w:tcPr>
            <w:tcW w:type="dxa" w:w="1296"/>
            <w:vAlign w:val="center"/>
            <w:tcMar>
              <w:top w:w="80" w:type="dxa"/>
              <w:bottom w:w="80" w:type="dxa"/>
              <w:start w:w="120" w:type="dxa"/>
              <w:end w:w="120" w:type="dxa"/>
            </w:tcMar>
          </w:tcPr>
          <w:p>
            <w:r>
              <w:rPr>
                <w:rFonts w:ascii="Calibri" w:hAnsi="Calibri"/>
                <w:sz w:val="20"/>
              </w:rPr>
              <w:t>4.5</w:t>
            </w:r>
          </w:p>
        </w:tc>
        <w:tc>
          <w:tcPr>
            <w:tcW w:type="dxa" w:w="1655"/>
            <w:vAlign w:val="center"/>
            <w:tcMar>
              <w:top w:w="80" w:type="dxa"/>
              <w:bottom w:w="80" w:type="dxa"/>
              <w:start w:w="120" w:type="dxa"/>
              <w:end w:w="120" w:type="dxa"/>
            </w:tcMar>
          </w:tcPr>
          <w:p>
            <w:r>
              <w:rPr>
                <w:rFonts w:ascii="Calibri" w:hAnsi="Calibri"/>
                <w:sz w:val="20"/>
              </w:rPr>
              <w:t>150,350</w:t>
            </w:r>
          </w:p>
        </w:tc>
      </w:tr>
      <w:tr>
        <w:tc>
          <w:tcPr>
            <w:tcW w:type="dxa" w:w="3528"/>
            <w:vAlign w:val="center"/>
            <w:tcMar>
              <w:top w:w="80" w:type="dxa"/>
              <w:bottom w:w="80" w:type="dxa"/>
              <w:start w:w="120" w:type="dxa"/>
              <w:end w:w="120" w:type="dxa"/>
            </w:tcMar>
          </w:tcPr>
          <w:p>
            <w:r>
              <w:rPr>
                <w:rFonts w:ascii="Calibri" w:hAnsi="Calibri"/>
                <w:sz w:val="20"/>
              </w:rPr>
              <w:t>Maximum spanning tree path</w:t>
            </w:r>
          </w:p>
        </w:tc>
        <w:tc>
          <w:tcPr>
            <w:tcW w:type="dxa" w:w="1440"/>
            <w:vAlign w:val="center"/>
            <w:tcMar>
              <w:top w:w="80" w:type="dxa"/>
              <w:bottom w:w="80" w:type="dxa"/>
              <w:start w:w="120" w:type="dxa"/>
              <w:end w:w="120" w:type="dxa"/>
            </w:tcMar>
          </w:tcPr>
          <w:p>
            <w:r>
              <w:rPr>
                <w:rFonts w:ascii="Calibri" w:hAnsi="Calibri"/>
                <w:sz w:val="20"/>
              </w:rPr>
              <w:t>95,745</w:t>
            </w:r>
          </w:p>
        </w:tc>
        <w:tc>
          <w:tcPr>
            <w:tcW w:type="dxa" w:w="1440"/>
            <w:vAlign w:val="center"/>
            <w:tcMar>
              <w:top w:w="80" w:type="dxa"/>
              <w:bottom w:w="80" w:type="dxa"/>
              <w:start w:w="120" w:type="dxa"/>
              <w:end w:w="120" w:type="dxa"/>
            </w:tcMar>
          </w:tcPr>
          <w:p>
            <w:r>
              <w:rPr>
                <w:rFonts w:ascii="Calibri" w:hAnsi="Calibri"/>
                <w:sz w:val="20"/>
              </w:rPr>
              <w:t>109,051</w:t>
            </w:r>
          </w:p>
        </w:tc>
        <w:tc>
          <w:tcPr>
            <w:tcW w:type="dxa" w:w="1296"/>
            <w:vAlign w:val="center"/>
            <w:tcMar>
              <w:top w:w="80" w:type="dxa"/>
              <w:bottom w:w="80" w:type="dxa"/>
              <w:start w:w="120" w:type="dxa"/>
              <w:end w:w="120" w:type="dxa"/>
            </w:tcMar>
          </w:tcPr>
          <w:p>
            <w:r>
              <w:rPr>
                <w:rFonts w:ascii="Calibri" w:hAnsi="Calibri"/>
                <w:sz w:val="20"/>
              </w:rPr>
              <w:t>5.5</w:t>
            </w:r>
          </w:p>
        </w:tc>
        <w:tc>
          <w:tcPr>
            <w:tcW w:type="dxa" w:w="1655"/>
            <w:vAlign w:val="center"/>
            <w:tcMar>
              <w:top w:w="80" w:type="dxa"/>
              <w:bottom w:w="80" w:type="dxa"/>
              <w:start w:w="120" w:type="dxa"/>
              <w:end w:w="120" w:type="dxa"/>
            </w:tcMar>
          </w:tcPr>
          <w:p>
            <w:r>
              <w:rPr>
                <w:rFonts w:ascii="Calibri" w:hAnsi="Calibri"/>
                <w:sz w:val="20"/>
              </w:rPr>
              <w:t>114,610</w:t>
            </w:r>
          </w:p>
        </w:tc>
      </w:tr>
    </w:tbl>
    <w:p>
      <w:pPr>
        <w:pStyle w:val="Heading1"/>
      </w:pPr>
      <w:r>
        <w:t>5. Interpretation</w:t>
      </w:r>
    </w:p>
    <w:p>
      <w:r>
        <w:rPr>
          <w:rFonts w:ascii="Calibri" w:hAnsi="Calibri"/>
          <w:b w:val="0"/>
          <w:i w:val="0"/>
          <w:color w:val="000000"/>
        </w:rPr>
        <w:t>The unconstrained MILP is the strongest benchmark for the stated objective because it maximizes summed path weight over simple directed paths while preventing subtours. Its higher mean score indicates that the earlier heuristic and bounded methods often stop short of the best available combination of directed transitions.</w:t>
      </w:r>
    </w:p>
    <w:p>
      <w:r>
        <w:rPr>
          <w:rFonts w:ascii="Calibri" w:hAnsi="Calibri"/>
          <w:b w:val="0"/>
          <w:i w:val="0"/>
          <w:color w:val="000000"/>
        </w:rPr>
        <w:t>The Hamiltonian path is useful for a different scientific question: it gives a complete ordering through all excitatory nodes. Its mean path weight is lower than the unconstrained MILP because it is forced to include every node, even when a complete traversal requires weaker connecting edges. That difference should be interpreted as the cost of complete coverage, not as solver failure.</w:t>
      </w:r>
    </w:p>
    <w:p>
      <w:r>
        <w:rPr>
          <w:rFonts w:ascii="Calibri" w:hAnsi="Calibri"/>
          <w:b w:val="0"/>
          <w:i w:val="0"/>
          <w:color w:val="000000"/>
        </w:rPr>
        <w:t>Dynamic programming is retained as a useful conceptual comparison, but at 32 nodes the notebook uses beam-limited DP rather than full bitmask DP. Beam pruning explains why dynamic programming can appear weak in the current results: it is not proving the global maximum at this graph size.</w:t>
      </w:r>
    </w:p>
    <w:p>
      <w:pPr>
        <w:pStyle w:val="Heading1"/>
      </w:pPr>
      <w:r>
        <w:t>6. Limitations</w:t>
      </w:r>
    </w:p>
    <w:p>
      <w:pPr>
        <w:pStyle w:val="ListBullet"/>
      </w:pPr>
      <w:r>
        <w:rPr>
          <w:rFonts w:ascii="Calibri" w:hAnsi="Calibri"/>
        </w:rPr>
        <w:t>The current objective uses positive off-diagonal E-to-E transition weights only. Negative transitions are excluded from candidate paths, so the results describe a positive excitatory backbone rather than the full signed connectivity matrix.</w:t>
      </w:r>
    </w:p>
    <w:p>
      <w:pPr>
        <w:pStyle w:val="ListBullet"/>
      </w:pPr>
      <w:r>
        <w:rPr>
          <w:rFonts w:ascii="Calibri" w:hAnsi="Calibri"/>
        </w:rPr>
        <w:t>Diagonal self-connections are excluded from all path scoring. This matters because 27 E-only nodes have positive diagonal entries; if those entries represent biologically meaningful recurrence, the current paths omit that contribution by design.</w:t>
      </w:r>
    </w:p>
    <w:p>
      <w:pPr>
        <w:pStyle w:val="ListBullet"/>
      </w:pPr>
      <w:r>
        <w:rPr>
          <w:rFonts w:ascii="Calibri" w:hAnsi="Calibri"/>
        </w:rPr>
        <w:t>The analysis compares path-finding formulations, not biological ground truth. A high-weight path should be interpreted as an optimized structure under the chosen matrix objective, not as evidence of an experimentally validated sequence.</w:t>
      </w:r>
    </w:p>
    <w:p>
      <w:pPr>
        <w:pStyle w:val="ListBullet"/>
      </w:pPr>
      <w:r>
        <w:rPr>
          <w:rFonts w:ascii="Calibri" w:hAnsi="Calibri"/>
        </w:rPr>
        <w:t>The unconstrained MILP and Hamiltonian MILP are exact only for rows whose solver status is Optimal. In the current run, all relevant rows are Optimal, but this should still be checked after any matrix, threshold, or solver-parameter change.</w:t>
      </w:r>
    </w:p>
    <w:p>
      <w:pPr>
        <w:pStyle w:val="ListBullet"/>
      </w:pPr>
      <w:r>
        <w:rPr>
          <w:rFonts w:ascii="Calibri" w:hAnsi="Calibri"/>
        </w:rPr>
        <w:t>The Hamiltonian path and unconstrained MILP answer different questions. The Hamiltonian path provides a complete 32-node ordering, while the unconstrained MILP allows shorter simple paths when adding more nodes would lower the objective.</w:t>
      </w:r>
    </w:p>
    <w:p>
      <w:pPr>
        <w:pStyle w:val="ListBullet"/>
      </w:pPr>
      <w:r>
        <w:rPr>
          <w:rFonts w:ascii="Calibri" w:hAnsi="Calibri"/>
        </w:rPr>
        <w:t>Current summaries emphasize summed path weight. They do not yet evaluate biological plausibility, robustness to weight perturbation, or whether small changes in preprocessing produce the same terminal nodes and major transitions.</w:t>
      </w:r>
    </w:p>
    <w:p>
      <w:pPr>
        <w:pStyle w:val="Heading1"/>
      </w:pPr>
      <w:r>
        <w:t>7. Recommended next steps</w:t>
      </w:r>
    </w:p>
    <w:p>
      <w:pPr>
        <w:pStyle w:val="ListNumber"/>
      </w:pPr>
      <w:r>
        <w:rPr>
          <w:rFonts w:ascii="Calibri" w:hAnsi="Calibri"/>
          <w:b/>
        </w:rPr>
        <w:t xml:space="preserve">Run a self-connection sensitivity analysis. </w:t>
      </w:r>
      <w:r>
        <w:rPr>
          <w:rFonts w:ascii="Calibri" w:hAnsi="Calibri"/>
        </w:rPr>
        <w:t>Repeat the MILP comparison with positive diagonal entries included as node rewards, then compare whether high-ranking paths and termini change materially.</w:t>
      </w:r>
    </w:p>
    <w:p>
      <w:pPr>
        <w:pStyle w:val="ListNumber"/>
      </w:pPr>
      <w:r>
        <w:rPr>
          <w:rFonts w:ascii="Calibri" w:hAnsi="Calibri"/>
          <w:b/>
        </w:rPr>
        <w:t xml:space="preserve">Validate the biological interpretation of the MILP path. </w:t>
      </w:r>
      <w:r>
        <w:rPr>
          <w:rFonts w:ascii="Calibri" w:hAnsi="Calibri"/>
        </w:rPr>
        <w:t>Review the highest-weight transitions in the unconstrained MILP output with domain knowledge and flag edges that are implausible, redundant, or likely artifacts of the matrix construction.</w:t>
      </w:r>
    </w:p>
    <w:p>
      <w:pPr>
        <w:pStyle w:val="ListNumber"/>
      </w:pPr>
      <w:r>
        <w:rPr>
          <w:rFonts w:ascii="Calibri" w:hAnsi="Calibri"/>
          <w:b/>
        </w:rPr>
        <w:t xml:space="preserve">Compare free-length and complete-ordering outputs. </w:t>
      </w:r>
      <w:r>
        <w:rPr>
          <w:rFonts w:ascii="Calibri" w:hAnsi="Calibri"/>
        </w:rPr>
        <w:t>Use the unconstrained MILP as the maximum-weight simple-backbone benchmark and the Hamiltonian path as the complete E-node ordering; report them as complementary outputs rather than competing versions of the same method.</w:t>
      </w:r>
    </w:p>
    <w:p>
      <w:pPr>
        <w:pStyle w:val="ListNumber"/>
      </w:pPr>
      <w:r>
        <w:rPr>
          <w:rFonts w:ascii="Calibri" w:hAnsi="Calibri"/>
          <w:b/>
        </w:rPr>
        <w:t xml:space="preserve">Add robustness checks. </w:t>
      </w:r>
      <w:r>
        <w:rPr>
          <w:rFonts w:ascii="Calibri" w:hAnsi="Calibri"/>
        </w:rPr>
        <w:t>Perturb or threshold weights, rerun the solver-backed methods, and measure how often core edges, terminal nodes, and top-weight paths are preserved.</w:t>
      </w:r>
    </w:p>
    <w:p>
      <w:pPr>
        <w:pStyle w:val="ListNumber"/>
      </w:pPr>
      <w:r>
        <w:rPr>
          <w:rFonts w:ascii="Calibri" w:hAnsi="Calibri"/>
          <w:b/>
        </w:rPr>
        <w:t xml:space="preserve">Decide whether inhibitory or signed structure should be modeled. </w:t>
      </w:r>
      <w:r>
        <w:rPr>
          <w:rFonts w:ascii="Calibri" w:hAnsi="Calibri"/>
        </w:rPr>
        <w:t>If the advisor wants the broader circuit context, extend the analysis beyond positive E-to-E transitions to include signed edges or separate inhibitory/excitatory comparisons.</w:t>
      </w:r>
    </w:p>
    <w:p>
      <w:pPr>
        <w:pStyle w:val="ListNumber"/>
      </w:pPr>
      <w:r>
        <w:rPr>
          <w:rFonts w:ascii="Calibri" w:hAnsi="Calibri"/>
          <w:b/>
        </w:rPr>
        <w:t xml:space="preserve">Prepare a compact results appendix. </w:t>
      </w:r>
      <w:r>
        <w:rPr>
          <w:rFonts w:ascii="Calibri" w:hAnsi="Calibri"/>
        </w:rPr>
        <w:t>For advisor review, add per-seed MILP paths, Hamiltonian paths, and the largest gaps between heuristic methods and the MILP benchmark.</w:t>
      </w:r>
    </w:p>
    <w:p>
      <w:pPr>
        <w:pStyle w:val="Heading1"/>
      </w:pPr>
      <w:r>
        <w:t>8. Output files</w:t>
      </w:r>
    </w:p>
    <w:tbl>
      <w:tblGrid>
        <w:gridCol w:w="2592"/>
        <w:gridCol w:w="6768"/>
      </w:tblGrid>
      <w:tblPr>
        <w:tblStyle w:val="TableGrid"/>
        <w:tblW w:type="dxa" w:w="9360"/>
        <w:jc w:val="left"/>
        <w:tblLayout w:type="fixed"/>
        <w:tblLook w:firstColumn="1" w:firstRow="1" w:lastColumn="0" w:lastRow="0" w:noHBand="0" w:noVBand="1" w:val="04A0"/>
      </w:tblPr>
      <w:tr>
        <w:tc>
          <w:tcPr>
            <w:tcW w:type="dxa" w:w="2592"/>
            <w:shd w:fill="F2F4F7"/>
            <w:vAlign w:val="center"/>
            <w:tcMar>
              <w:top w:w="80" w:type="dxa"/>
              <w:bottom w:w="80" w:type="dxa"/>
              <w:start w:w="120" w:type="dxa"/>
              <w:end w:w="120" w:type="dxa"/>
            </w:tcMar>
          </w:tcPr>
          <w:p>
            <w:r>
              <w:t>Artifact</w:t>
            </w:r>
          </w:p>
        </w:tc>
        <w:tc>
          <w:tcPr>
            <w:tcW w:type="dxa" w:w="6768"/>
            <w:shd w:fill="F2F4F7"/>
            <w:vAlign w:val="center"/>
            <w:tcMar>
              <w:top w:w="80" w:type="dxa"/>
              <w:bottom w:w="80" w:type="dxa"/>
              <w:start w:w="120" w:type="dxa"/>
              <w:end w:w="120" w:type="dxa"/>
            </w:tcMar>
          </w:tcPr>
          <w:p>
            <w:r>
              <w:t>Path</w:t>
            </w:r>
          </w:p>
        </w:tc>
      </w:tr>
      <w:tr>
        <w:tc>
          <w:tcPr>
            <w:tcW w:type="dxa" w:w="2592"/>
            <w:vAlign w:val="center"/>
            <w:tcMar>
              <w:top w:w="80" w:type="dxa"/>
              <w:bottom w:w="80" w:type="dxa"/>
              <w:start w:w="120" w:type="dxa"/>
              <w:end w:w="120" w:type="dxa"/>
            </w:tcMar>
          </w:tcPr>
          <w:p>
            <w:r>
              <w:t>Notebook</w:t>
            </w:r>
          </w:p>
        </w:tc>
        <w:tc>
          <w:tcPr>
            <w:tcW w:type="dxa" w:w="6768"/>
            <w:vAlign w:val="center"/>
            <w:tcMar>
              <w:top w:w="80" w:type="dxa"/>
              <w:bottom w:w="80" w:type="dxa"/>
              <w:start w:w="120" w:type="dxa"/>
              <w:end w:w="120" w:type="dxa"/>
            </w:tcMar>
          </w:tcPr>
          <w:p>
            <w:r>
              <w:t>ee_backbone_method_comparison.ipynb</w:t>
            </w:r>
          </w:p>
        </w:tc>
      </w:tr>
      <w:tr>
        <w:tc>
          <w:tcPr>
            <w:tcW w:type="dxa" w:w="2592"/>
            <w:vAlign w:val="center"/>
            <w:tcMar>
              <w:top w:w="80" w:type="dxa"/>
              <w:bottom w:w="80" w:type="dxa"/>
              <w:start w:w="120" w:type="dxa"/>
              <w:end w:w="120" w:type="dxa"/>
            </w:tcMar>
          </w:tcPr>
          <w:p>
            <w:r>
              <w:t>Input matrix</w:t>
            </w:r>
          </w:p>
        </w:tc>
        <w:tc>
          <w:tcPr>
            <w:tcW w:type="dxa" w:w="6768"/>
            <w:vAlign w:val="center"/>
            <w:tcMar>
              <w:top w:w="80" w:type="dxa"/>
              <w:bottom w:w="80" w:type="dxa"/>
              <w:start w:w="120" w:type="dxa"/>
              <w:end w:w="120" w:type="dxa"/>
            </w:tcMar>
          </w:tcPr>
          <w:p>
            <w:r>
              <w:t>matrices/mij_EE_matrix.csv</w:t>
            </w:r>
          </w:p>
        </w:tc>
      </w:tr>
      <w:tr>
        <w:tc>
          <w:tcPr>
            <w:tcW w:type="dxa" w:w="2592"/>
            <w:vAlign w:val="center"/>
            <w:tcMar>
              <w:top w:w="80" w:type="dxa"/>
              <w:bottom w:w="80" w:type="dxa"/>
              <w:start w:w="120" w:type="dxa"/>
              <w:end w:w="120" w:type="dxa"/>
            </w:tcMar>
          </w:tcPr>
          <w:p>
            <w:r>
              <w:t>Long comparison table</w:t>
            </w:r>
          </w:p>
        </w:tc>
        <w:tc>
          <w:tcPr>
            <w:tcW w:type="dxa" w:w="6768"/>
            <w:vAlign w:val="center"/>
            <w:tcMar>
              <w:top w:w="80" w:type="dxa"/>
              <w:bottom w:w="80" w:type="dxa"/>
              <w:start w:w="120" w:type="dxa"/>
              <w:end w:w="120" w:type="dxa"/>
            </w:tcMar>
          </w:tcPr>
          <w:p>
            <w:r>
              <w:t>ee_backbone_comparison_outputs/method_comparison_long.csv</w:t>
            </w:r>
          </w:p>
        </w:tc>
      </w:tr>
      <w:tr>
        <w:tc>
          <w:tcPr>
            <w:tcW w:type="dxa" w:w="2592"/>
            <w:vAlign w:val="center"/>
            <w:tcMar>
              <w:top w:w="80" w:type="dxa"/>
              <w:bottom w:w="80" w:type="dxa"/>
              <w:start w:w="120" w:type="dxa"/>
              <w:end w:w="120" w:type="dxa"/>
            </w:tcMar>
          </w:tcPr>
          <w:p>
            <w:r>
              <w:t>Wide comparison table</w:t>
            </w:r>
          </w:p>
        </w:tc>
        <w:tc>
          <w:tcPr>
            <w:tcW w:type="dxa" w:w="6768"/>
            <w:vAlign w:val="center"/>
            <w:tcMar>
              <w:top w:w="80" w:type="dxa"/>
              <w:bottom w:w="80" w:type="dxa"/>
              <w:start w:w="120" w:type="dxa"/>
              <w:end w:w="120" w:type="dxa"/>
            </w:tcMar>
          </w:tcPr>
          <w:p>
            <w:r>
              <w:t>ee_backbone_comparison_outputs/method_comparison_wide.csv</w:t>
            </w:r>
          </w:p>
        </w:tc>
      </w:tr>
      <w:tr>
        <w:tc>
          <w:tcPr>
            <w:tcW w:type="dxa" w:w="2592"/>
            <w:vAlign w:val="center"/>
            <w:tcMar>
              <w:top w:w="80" w:type="dxa"/>
              <w:bottom w:w="80" w:type="dxa"/>
              <w:start w:w="120" w:type="dxa"/>
              <w:end w:w="120" w:type="dxa"/>
            </w:tcMar>
          </w:tcPr>
          <w:p>
            <w:r>
              <w:t>Selected path edges</w:t>
            </w:r>
          </w:p>
        </w:tc>
        <w:tc>
          <w:tcPr>
            <w:tcW w:type="dxa" w:w="6768"/>
            <w:vAlign w:val="center"/>
            <w:tcMar>
              <w:top w:w="80" w:type="dxa"/>
              <w:bottom w:w="80" w:type="dxa"/>
              <w:start w:w="120" w:type="dxa"/>
              <w:end w:w="120" w:type="dxa"/>
            </w:tcMar>
          </w:tcPr>
          <w:p>
            <w:r>
              <w:t>ee_backbone_comparison_outputs/all_methods_edges.csv</w:t>
            </w:r>
          </w:p>
        </w:tc>
      </w:tr>
      <w:tr>
        <w:tc>
          <w:tcPr>
            <w:tcW w:type="dxa" w:w="2592"/>
            <w:vAlign w:val="center"/>
            <w:tcMar>
              <w:top w:w="80" w:type="dxa"/>
              <w:bottom w:w="80" w:type="dxa"/>
              <w:start w:w="120" w:type="dxa"/>
              <w:end w:w="120" w:type="dxa"/>
            </w:tcMar>
          </w:tcPr>
          <w:p>
            <w:r>
              <w:t>Method summary</w:t>
            </w:r>
          </w:p>
        </w:tc>
        <w:tc>
          <w:tcPr>
            <w:tcW w:type="dxa" w:w="6768"/>
            <w:vAlign w:val="center"/>
            <w:tcMar>
              <w:top w:w="80" w:type="dxa"/>
              <w:bottom w:w="80" w:type="dxa"/>
              <w:start w:w="120" w:type="dxa"/>
              <w:end w:w="120" w:type="dxa"/>
            </w:tcMar>
          </w:tcPr>
          <w:p>
            <w:r>
              <w:t>ee_backbone_comparison_outputs/method_summary.csv</w:t>
            </w:r>
          </w:p>
        </w:tc>
      </w:tr>
      <w:tr>
        <w:tc>
          <w:tcPr>
            <w:tcW w:type="dxa" w:w="2592"/>
            <w:vAlign w:val="center"/>
            <w:tcMar>
              <w:top w:w="80" w:type="dxa"/>
              <w:bottom w:w="80" w:type="dxa"/>
              <w:start w:w="120" w:type="dxa"/>
              <w:end w:w="120" w:type="dxa"/>
            </w:tcMar>
          </w:tcPr>
          <w:p>
            <w:r>
              <w:t>MILP benchmark gaps</w:t>
            </w:r>
          </w:p>
        </w:tc>
        <w:tc>
          <w:tcPr>
            <w:tcW w:type="dxa" w:w="6768"/>
            <w:vAlign w:val="center"/>
            <w:tcMar>
              <w:top w:w="80" w:type="dxa"/>
              <w:bottom w:w="80" w:type="dxa"/>
              <w:start w:w="120" w:type="dxa"/>
              <w:end w:w="120" w:type="dxa"/>
            </w:tcMar>
          </w:tcPr>
          <w:p>
            <w:r>
              <w:t>ee_backbone_comparison_outputs/milp_benchmark_gaps.csv</w:t>
            </w:r>
          </w:p>
        </w:tc>
      </w:tr>
    </w:tbl>
    <w:p>
      <w:pPr>
        <w:pStyle w:val="Heading1"/>
      </w:pPr>
      <w:r>
        <w:t>References</w:t>
      </w:r>
    </w:p>
    <w:p>
      <w:pPr>
        <w:ind w:left="360" w:hanging="360"/>
      </w:pPr>
      <w:r>
        <w:rPr>
          <w:rFonts w:ascii="Calibri" w:hAnsi="Calibri"/>
          <w:sz w:val="20"/>
        </w:rPr>
        <w:t>Held, M., &amp; Karp, R. M. (1962). A dynamic programming approach to sequencing problems. Journal of the Society for Industrial and Applied Mathematics, 10(1), 196-210. https://doi.org/10.1137/0110015.</w:t>
      </w:r>
    </w:p>
    <w:p>
      <w:pPr>
        <w:ind w:left="360" w:hanging="360"/>
      </w:pPr>
      <w:r>
        <w:rPr>
          <w:rFonts w:ascii="Calibri" w:hAnsi="Calibri"/>
          <w:sz w:val="20"/>
        </w:rPr>
        <w:t>Miller, C. E., Tucker, A. W., &amp; Zemlin, R. A. (1960). Integer Programming Formulation of Traveling Salesman Problems. Journal of the ACM, 7(4), 326-329. https://doi.org/10.1145/321043.321046.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Prepared from ee_backbone_method_comparison.ipynb | August 20,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E-to-E Backbone Method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E-to-E Backbone Method Comparison</dc:title>
  <dc:subject>Advisor method brief</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