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7A8C"/>
          <w:spacing w:val="40"/>
          <w:sz w:val="18"/>
          <w:szCs w:val="18"/>
        </w:rPr>
        <w:t xml:space="preserve">METHODS BRIEF</w:t>
      </w:r>
    </w:p>
    <w:p>
      <w:pPr>
        <w:spacing w:after="100"/>
      </w:pPr>
      <w:r>
        <w:rPr>
          <w:rFonts w:ascii="Cambria" w:cs="Cambria" w:eastAsia="Cambria" w:hAnsi="Cambria"/>
          <w:b/>
          <w:bCs/>
          <w:color w:val="14213D"/>
          <w:sz w:val="36"/>
          <w:szCs w:val="36"/>
        </w:rPr>
        <w:t xml:space="preserve">Six analytical techniques applied to the Hippocampome connectome</w:t>
      </w:r>
    </w:p>
    <w:p>
      <w:pPr>
        <w:spacing w:after="200"/>
      </w:pPr>
      <w:r>
        <w:rPr>
          <w:rFonts w:ascii="Cambria" w:cs="Cambria" w:eastAsia="Cambria" w:hAnsi="Cambria"/>
          <w:i/>
          <w:iCs/>
          <w:color w:val="5A6472"/>
          <w:sz w:val="24"/>
          <w:szCs w:val="24"/>
        </w:rPr>
        <w:t xml:space="preserve">What each one is, why it is required, and what it tells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FFFFF" w:color="auto" w:val="clear"/>
            <w:tcMar>
              <w:top w:type="dxa" w:w="70"/>
              <w:left w:type="dxa" w:w="110"/>
              <w:bottom w:type="dxa" w:w="70"/>
              <w:right w:type="dxa" w:w="110"/>
            </w:tcMar>
          </w:tcPr>
          <w:p>
            <w:pPr>
              <w:spacing w:after="0" w:line="250"/>
              <w:jc w:val="left"/>
            </w:pPr>
            <w:r>
              <w:rPr>
                <w:rFonts w:ascii="Calibri" w:cs="Calibri" w:eastAsia="Calibri" w:hAnsi="Calibri"/>
                <w:b/>
                <w:bCs/>
                <w:color w:val="1A1F2B"/>
                <w:sz w:val="19"/>
                <w:szCs w:val="19"/>
              </w:rPr>
              <w:t xml:space="preserve">Prepared for</w:t>
            </w:r>
          </w:p>
        </w:tc>
        <w:tc>
          <w:tcPr>
            <w:tcW w:type="dxa" w:w="74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9"/>
                <w:szCs w:val="19"/>
              </w:rPr>
              <w:t xml:space="preserve">Dr. Giorgio Ascoli</w:t>
            </w:r>
          </w:p>
        </w:tc>
      </w:tr>
      <w:tr>
        <w:tc>
          <w:tcPr>
            <w:tcW w:type="dxa" w:w="1900"/>
            <w:shd w:fill="FFFFFF" w:color="auto" w:val="clear"/>
            <w:tcMar>
              <w:top w:type="dxa" w:w="70"/>
              <w:left w:type="dxa" w:w="110"/>
              <w:bottom w:type="dxa" w:w="70"/>
              <w:right w:type="dxa" w:w="110"/>
            </w:tcMar>
          </w:tcPr>
          <w:p>
            <w:pPr>
              <w:spacing w:after="0" w:line="250"/>
              <w:jc w:val="left"/>
            </w:pPr>
            <w:r>
              <w:rPr>
                <w:rFonts w:ascii="Calibri" w:cs="Calibri" w:eastAsia="Calibri" w:hAnsi="Calibri"/>
                <w:b/>
                <w:bCs/>
                <w:color w:val="1A1F2B"/>
                <w:sz w:val="19"/>
                <w:szCs w:val="19"/>
              </w:rPr>
              <w:t xml:space="preserve">From</w:t>
            </w:r>
          </w:p>
        </w:tc>
        <w:tc>
          <w:tcPr>
            <w:tcW w:type="dxa" w:w="74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9"/>
                <w:szCs w:val="19"/>
              </w:rPr>
              <w:t xml:space="preserve">Roxanne Aniceto</w:t>
            </w:r>
          </w:p>
        </w:tc>
      </w:tr>
      <w:tr>
        <w:tc>
          <w:tcPr>
            <w:tcW w:type="dxa" w:w="1900"/>
            <w:shd w:fill="FFFFFF" w:color="auto" w:val="clear"/>
            <w:tcMar>
              <w:top w:type="dxa" w:w="70"/>
              <w:left w:type="dxa" w:w="110"/>
              <w:bottom w:type="dxa" w:w="70"/>
              <w:right w:type="dxa" w:w="110"/>
            </w:tcMar>
          </w:tcPr>
          <w:p>
            <w:pPr>
              <w:spacing w:after="0" w:line="250"/>
              <w:jc w:val="left"/>
            </w:pPr>
            <w:r>
              <w:rPr>
                <w:rFonts w:ascii="Calibri" w:cs="Calibri" w:eastAsia="Calibri" w:hAnsi="Calibri"/>
                <w:b/>
                <w:bCs/>
                <w:color w:val="1A1F2B"/>
                <w:sz w:val="19"/>
                <w:szCs w:val="19"/>
              </w:rPr>
              <w:t xml:space="preserve">Date</w:t>
            </w:r>
          </w:p>
        </w:tc>
        <w:tc>
          <w:tcPr>
            <w:tcW w:type="dxa" w:w="74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9"/>
                <w:szCs w:val="19"/>
              </w:rPr>
              <w:t xml:space="preserve">15 September 2026</w:t>
            </w:r>
          </w:p>
        </w:tc>
      </w:tr>
      <w:tr>
        <w:tc>
          <w:tcPr>
            <w:tcW w:type="dxa" w:w="1900"/>
            <w:shd w:fill="FFFFFF" w:color="auto" w:val="clear"/>
            <w:tcMar>
              <w:top w:type="dxa" w:w="70"/>
              <w:left w:type="dxa" w:w="110"/>
              <w:bottom w:type="dxa" w:w="70"/>
              <w:right w:type="dxa" w:w="110"/>
            </w:tcMar>
          </w:tcPr>
          <w:p>
            <w:pPr>
              <w:spacing w:after="0" w:line="250"/>
              <w:jc w:val="left"/>
            </w:pPr>
            <w:r>
              <w:rPr>
                <w:rFonts w:ascii="Calibri" w:cs="Calibri" w:eastAsia="Calibri" w:hAnsi="Calibri"/>
                <w:b/>
                <w:bCs/>
                <w:color w:val="1A1F2B"/>
                <w:sz w:val="19"/>
                <w:szCs w:val="19"/>
              </w:rPr>
              <w:t xml:space="preserve">Subject matrix</w:t>
            </w:r>
          </w:p>
        </w:tc>
        <w:tc>
          <w:tcPr>
            <w:tcW w:type="dxa" w:w="74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9"/>
                <w:szCs w:val="19"/>
              </w:rPr>
              <w:t xml:space="preserve">85 neuron types (32 excitatory, 53 inhibitory), 8 regions, 1,570 directed edges</w:t>
            </w:r>
          </w:p>
        </w:tc>
      </w:tr>
    </w:tbl>
    <w:p>
      <w:pPr>
        <w:spacing w:after="220"/>
      </w:pPr>
      <w:r>
        <w:rPr>
          <w:sz w:val="2"/>
          <w:szCs w:val="2"/>
        </w:rPr>
        <w:t xml:space="preserve"/>
      </w:r>
    </w:p>
    <w:p>
      <w:pPr>
        <w:pStyle w:val="Heading1"/>
        <w:spacing w:after="150" w:before="320"/>
      </w:pPr>
      <w:r>
        <w:rPr>
          <w:rFonts w:ascii="Cambria" w:cs="Cambria" w:eastAsia="Cambria" w:hAnsi="Cambria"/>
          <w:b/>
          <w:bCs/>
          <w:color w:val="14213D"/>
          <w:sz w:val="28"/>
          <w:szCs w:val="28"/>
        </w:rPr>
        <w:t xml:space="preserve">Foreword</w:t>
      </w:r>
    </w:p>
    <w:p>
      <w:pPr>
        <w:pStyle w:val="Heading2"/>
        <w:spacing w:after="120" w:before="230"/>
      </w:pPr>
      <w:r>
        <w:rPr>
          <w:rFonts w:ascii="Cambria" w:cs="Cambria" w:eastAsia="Cambria" w:hAnsi="Cambria"/>
          <w:b/>
          <w:bCs/>
          <w:color w:val="14213D"/>
          <w:sz w:val="23"/>
          <w:szCs w:val="23"/>
        </w:rPr>
        <w:t xml:space="preserve">Provenance</w:t>
      </w:r>
    </w:p>
    <w:p>
      <w:pPr>
        <w:spacing w:after="140" w:line="276"/>
      </w:pPr>
      <w:r>
        <w:rPr>
          <w:rFonts w:ascii="Calibri" w:cs="Calibri" w:eastAsia="Calibri" w:hAnsi="Calibri"/>
          <w:color w:val="1A1F2B"/>
          <w:sz w:val="21"/>
          <w:szCs w:val="21"/>
        </w:rPr>
        <w:t xml:space="preserve">With one exception, these techniques were not assigned. Dr. Ascoli asked for an examination of motifs, without specifying a method. The remaining five techniques, the specific motif methodology, and the orientation, normalisation and verification conventions described throughout were identified, evaluated and applied in the course of this work.</w:t>
      </w:r>
    </w:p>
    <w:p>
      <w:pPr>
        <w:pStyle w:val="Heading2"/>
        <w:spacing w:after="120" w:before="230"/>
      </w:pPr>
      <w:r>
        <w:rPr>
          <w:rFonts w:ascii="Cambria" w:cs="Cambria" w:eastAsia="Cambria" w:hAnsi="Cambria"/>
          <w:b/>
          <w:bCs/>
          <w:color w:val="14213D"/>
          <w:sz w:val="23"/>
          <w:szCs w:val="23"/>
        </w:rPr>
        <w:t xml:space="preserve">On the word "preprocessing"</w:t>
      </w:r>
    </w:p>
    <w:p>
      <w:pPr>
        <w:spacing w:after="140" w:line="276"/>
      </w:pPr>
      <w:r>
        <w:rPr>
          <w:rFonts w:ascii="Calibri" w:cs="Calibri" w:eastAsia="Calibri" w:hAnsi="Calibri"/>
          <w:color w:val="1A1F2B"/>
          <w:sz w:val="21"/>
          <w:szCs w:val="21"/>
        </w:rPr>
        <w:t xml:space="preserve">Two of the six sections describe operations performed before any analysis runs. None alters the measured data. Each is a re-expression of the same numbers, and each is exactly invertible.</w:t>
      </w:r>
    </w:p>
    <w:p>
      <w:pPr>
        <w:spacing w:after="140" w:line="276"/>
      </w:pPr>
      <w:r>
        <w:rPr>
          <w:rFonts w:ascii="Calibri" w:cs="Calibri" w:eastAsia="Calibri" w:hAnsi="Calibri"/>
          <w:b/>
          <w:bCs/>
          <w:color w:val="1F7A8C"/>
          <w:sz w:val="21"/>
          <w:szCs w:val="21"/>
        </w:rPr>
        <w:t xml:space="preserve">Relabelings change nothing.  </w:t>
      </w:r>
      <w:r>
        <w:rPr>
          <w:rFonts w:ascii="Calibri" w:cs="Calibri" w:eastAsia="Calibri" w:hAnsi="Calibri"/>
          <w:color w:val="1A1F2B"/>
          <w:sz w:val="21"/>
          <w:szCs w:val="21"/>
        </w:rPr>
        <w:t xml:space="preserve">Transposition and matrix reordering are bijections on the index set: the same cell types, the same edges, the same weights, read along a different axis or listed in a different order. Transposing twice, or applying the inverse permutation, returns the original file exactly. Every scalar invariant — eigenvalues, spectral radius, Frobenius norm, trace, triad counts — is unchanged. What changes is the reading of direction-dependent quantities: row sums become column sums, right eigenvectors become left eigenvectors. The data is identical; the causal interpretation is not, and only one reading matches what the software computes.</w:t>
      </w:r>
    </w:p>
    <w:p>
      <w:pPr>
        <w:spacing w:after="140" w:line="276"/>
      </w:pPr>
      <w:r>
        <w:rPr>
          <w:rFonts w:ascii="Calibri" w:cs="Calibri" w:eastAsia="Calibri" w:hAnsi="Calibri"/>
          <w:b/>
          <w:bCs/>
          <w:color w:val="1F7A8C"/>
          <w:sz w:val="21"/>
          <w:szCs w:val="21"/>
        </w:rPr>
        <w:t xml:space="preserve">Uniform rescaling preserves every ratio.  </w:t>
      </w:r>
      <w:r>
        <w:rPr>
          <w:rFonts w:ascii="Calibri" w:cs="Calibri" w:eastAsia="Calibri" w:hAnsi="Calibri"/>
          <w:color w:val="1A1F2B"/>
          <w:sz w:val="21"/>
          <w:szCs w:val="21"/>
        </w:rPr>
        <w:t xml:space="preserve">Spectral-radius normalisation multiplies every entry by a single positive constant. Signs, the sparsity pattern, the rank ordering of every weight and the direction of every eigenvector are preserved exactly; eigenvalues scale by that same constant. Nothing is added, removed, or reweighted relative to anything else, and dividing by the constant restores the original matrix.</w:t>
      </w:r>
    </w:p>
    <w:p>
      <w:pPr>
        <w:spacing w:after="140" w:line="276"/>
      </w:pPr>
      <w:r>
        <w:rPr>
          <w:rFonts w:ascii="Calibri" w:cs="Calibri" w:eastAsia="Calibri" w:hAnsi="Calibri"/>
          <w:b/>
          <w:bCs/>
          <w:color w:val="1F7A8C"/>
          <w:sz w:val="21"/>
          <w:szCs w:val="21"/>
        </w:rPr>
        <w:t xml:space="preserve">Feature transforms preserve order.  </w:t>
      </w:r>
      <w:r>
        <w:rPr>
          <w:rFonts w:ascii="Calibri" w:cs="Calibri" w:eastAsia="Calibri" w:hAnsi="Calibri"/>
          <w:color w:val="1A1F2B"/>
          <w:sz w:val="21"/>
          <w:szCs w:val="21"/>
        </w:rPr>
        <w:t xml:space="preserve">The logarithmic and z-score transforms are applied only to inputs of the learning models, never to the operator used for dynamics. Each is strictly monotone and invertible, so distinct values remain distinct — which is why the expressivity guarantee the method relies on survives the transform. What changes is the spacing between values, not their order.</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1F4F8" w:color="auto" w:val="clear"/>
            <w:tcMar>
              <w:top w:type="dxa" w:w="130"/>
              <w:left w:type="dxa" w:w="160"/>
              <w:bottom w:type="dxa" w:w="130"/>
              <w:right w:type="dxa" w:w="160"/>
            </w:tcMar>
          </w:tcPr>
          <w:p>
            <w:pPr>
              <w:spacing w:after="0" w:line="270"/>
            </w:pPr>
            <w:r>
              <w:rPr>
                <w:rFonts w:ascii="Calibri" w:cs="Calibri" w:eastAsia="Calibri" w:hAnsi="Calibri"/>
                <w:color w:val="1A1F2B"/>
                <w:sz w:val="20"/>
                <w:szCs w:val="20"/>
              </w:rPr>
              <w:t xml:space="preserve">Cost. Normalisation makes absolute magnitudes uninterpretable, so claims are ordinal and comparative rather than absolute. This is stated wherever a magnitude appears.</w:t>
            </w:r>
          </w:p>
        </w:tc>
      </w:tr>
    </w:tbl>
    <w:p>
      <w:pPr>
        <w:spacing w:after="140"/>
      </w:pPr>
      <w:r>
        <w:rPr>
          <w:sz w:val="2"/>
          <w:szCs w:val="2"/>
        </w:rPr>
        <w:t xml:space="preserve"/>
      </w:r>
    </w:p>
    <w:p>
      <w:pPr>
        <w:spacing w:after="100" w:line="276"/>
      </w:pPr>
      <w:r>
        <w:rPr>
          <w:rFonts w:ascii="Calibri" w:cs="Calibri" w:eastAsia="Calibri" w:hAnsi="Calibri"/>
          <w:b/>
          <w:bCs/>
          <w:color w:val="14213D"/>
          <w:sz w:val="21"/>
          <w:szCs w:val="21"/>
        </w:rPr>
        <w:t xml:space="preserve">What is not preprocessing</w:t>
      </w:r>
    </w:p>
    <w:p>
      <w:pPr>
        <w:spacing w:after="140" w:line="276"/>
      </w:pPr>
      <w:r>
        <w:rPr>
          <w:rFonts w:ascii="Calibri" w:cs="Calibri" w:eastAsia="Calibri" w:hAnsi="Calibri"/>
          <w:color w:val="1A1F2B"/>
          <w:sz w:val="21"/>
          <w:szCs w:val="21"/>
        </w:rPr>
        <w:t xml:space="preserve">Three operations do change the matrix or the frame and are labelled as experiments or modelling decisions. The with-self / no-self comparison zeroes the diagonal; the block and node ablations delete entries. Both are deliberate perturbations, reported as such. The choice of activity variable — population total output against per-cell firing rate — is a modelling decision, not a neutral re-expression: it leaves the spectrum identical while changing transient magnitudes, which is why §2 declares it explicitly.</w:t>
      </w:r>
    </w:p>
    <w:p>
      <w:pPr>
        <w:pStyle w:val="Heading2"/>
        <w:spacing w:after="120" w:before="230"/>
      </w:pPr>
      <w:r>
        <w:rPr>
          <w:rFonts w:ascii="Cambria" w:cs="Cambria" w:eastAsia="Cambria" w:hAnsi="Cambria"/>
          <w:b/>
          <w:bCs/>
          <w:color w:val="14213D"/>
          <w:sz w:val="23"/>
          <w:szCs w:val="23"/>
        </w:rPr>
        <w:t xml:space="preserve">A note on self-connections</w:t>
      </w:r>
    </w:p>
    <w:p>
      <w:pPr>
        <w:spacing w:after="140" w:line="276"/>
      </w:pPr>
      <w:r>
        <w:rPr>
          <w:rFonts w:ascii="Calibri" w:cs="Calibri" w:eastAsia="Calibri" w:hAnsi="Calibri"/>
          <w:color w:val="1A1F2B"/>
          <w:sz w:val="21"/>
          <w:szCs w:val="21"/>
        </w:rPr>
        <w:t xml:space="preserve">The diagonal is retained in the primary analyses. This is a substantive choice, not a default: it represents coupling between distinct cells of the same type — a stochastic-block-model diagonal — not autapses, and 71 of the 85 types carry one. Excluding it deletes real connectivity rather than a modelling artefact.</w:t>
      </w:r>
    </w:p>
    <w:p>
      <w:pPr>
        <w:spacing w:after="140" w:line="276"/>
      </w:pPr>
      <w:r>
        <w:rPr>
          <w:rFonts w:ascii="Calibri" w:cs="Calibri" w:eastAsia="Calibri" w:hAnsi="Calibri"/>
          <w:color w:val="1A1F2B"/>
          <w:sz w:val="21"/>
          <w:szCs w:val="21"/>
        </w:rPr>
        <w:t xml:space="preserve">The results change, and they change in the direction of greater stability. With self-connections the excitatory block sits at ρ(M[E,E]) = 0.886; without them it sits at 0.996, essentially at the edge of instability. Non-normality is roughly three times lower with the diagonal retained (5,870 against 18,320), the controllability Gramian is far better conditioned (5,767 against 42,740), and peak low-frequency gain is lower (69.39 against 193.43). Both variants are normalised independently, so these are matched normalised dynamics rather than a claim about raw diagonal mass — which is why the with-self variant is the primary readout and the no-self variant is reported as a sensitivity contrast.</w:t>
      </w:r>
    </w:p>
    <w:p>
      <w:pPr>
        <w:spacing w:after="140" w:line="276"/>
      </w:pPr>
      <w:r>
        <w:rPr>
          <w:rFonts w:ascii="Calibri" w:cs="Calibri" w:eastAsia="Calibri" w:hAnsi="Calibri"/>
          <w:color w:val="1A1F2B"/>
          <w:sz w:val="21"/>
          <w:szCs w:val="21"/>
        </w:rPr>
        <w:t xml:space="preserve">The same decision drives the twin-node unrolling in §5: a triad requires three distinct nodes, so retaining the diagonal is what makes 1,941 within-type triads visible at all.</w:t>
      </w:r>
    </w:p>
    <w:p>
      <w:pPr>
        <w:pBdr>
          <w:bottom w:val="single" w:color="D7DEE7" w:sz="6"/>
        </w:pBdr>
        <w:spacing w:after="180" w:before="60"/>
      </w:pPr>
      <w:r>
        <w:rPr>
          <w:sz w:val="2"/>
          <w:szCs w:val="2"/>
        </w:rPr>
        <w:t xml:space="preserve"/>
      </w:r>
    </w:p>
    <w:p>
      <w:pPr>
        <w:pStyle w:val="Heading1"/>
        <w:spacing w:after="150" w:before="320"/>
      </w:pPr>
      <w:r>
        <w:rPr>
          <w:rFonts w:ascii="Cambria" w:cs="Cambria" w:eastAsia="Cambria" w:hAnsi="Cambria"/>
          <w:b/>
          <w:bCs/>
          <w:color w:val="14213D"/>
          <w:sz w:val="28"/>
          <w:szCs w:val="28"/>
        </w:rPr>
        <w:t xml:space="preserve">Purpose</w:t>
      </w:r>
    </w:p>
    <w:p>
      <w:pPr>
        <w:spacing w:after="140" w:line="276"/>
      </w:pPr>
      <w:r>
        <w:rPr>
          <w:rFonts w:ascii="Calibri" w:cs="Calibri" w:eastAsia="Calibri" w:hAnsi="Calibri"/>
          <w:color w:val="1A1F2B"/>
          <w:sz w:val="21"/>
          <w:szCs w:val="21"/>
        </w:rPr>
        <w:t xml:space="preserve">Each of the six techniques below was adopted to answer a specific question that the others cannot. This brief states, for each one, what the technique does, why it is necessary rather than optional, and the concrete information it has produced on our matrix. Every figure quoted is from our own runs; sources are named at the end of each section.</w:t>
      </w:r>
    </w:p>
    <w:p>
      <w:pPr>
        <w:spacing w:after="140" w:line="276"/>
      </w:pPr>
      <w:r>
        <w:rPr>
          <w:rFonts w:ascii="Calibri" w:cs="Calibri" w:eastAsia="Calibri" w:hAnsi="Calibri"/>
          <w:color w:val="1A1F2B"/>
          <w:sz w:val="21"/>
          <w:szCs w:val="21"/>
        </w:rPr>
        <w:t xml:space="preserve">Two of the six — transposition, and normalisation/transform/scaling — are preconditions rather than analyses. They are included because they are load-bearing: if either is wrong, every downstream result is wrong in a way that is invisible to inspection.</w:t>
      </w:r>
    </w:p>
    <w:p>
      <w:pPr>
        <w:pStyle w:val="Heading1"/>
        <w:spacing w:after="150" w:before="320"/>
      </w:pPr>
      <w:r>
        <w:rPr>
          <w:rFonts w:ascii="Cambria" w:cs="Cambria" w:eastAsia="Cambria" w:hAnsi="Cambria"/>
          <w:b/>
          <w:bCs/>
          <w:color w:val="14213D"/>
          <w:sz w:val="28"/>
          <w:szCs w:val="28"/>
        </w:rPr>
        <w:t xml:space="preserve">How the six compose</w:t>
      </w:r>
    </w:p>
    <w:p>
      <w:pPr>
        <w:spacing w:after="140" w:line="276"/>
      </w:pPr>
      <w:r>
        <w:rPr>
          <w:rFonts w:ascii="Calibri" w:cs="Calibri" w:eastAsia="Calibri" w:hAnsi="Calibri"/>
          <w:b/>
          <w:bCs/>
          <w:color w:val="1F7A8C"/>
          <w:sz w:val="21"/>
          <w:szCs w:val="21"/>
        </w:rPr>
        <w:t xml:space="preserve">Preconditions.  </w:t>
      </w:r>
      <w:r>
        <w:rPr>
          <w:rFonts w:ascii="Calibri" w:cs="Calibri" w:eastAsia="Calibri" w:hAnsi="Calibri"/>
          <w:color w:val="1A1F2B"/>
          <w:sz w:val="21"/>
          <w:szCs w:val="21"/>
        </w:rPr>
        <w:t xml:space="preserve">Transposition fixes the direction of causation. Normalisation makes the dynamical question well-posed at all. Neither produces a result; both determine whether a result means anything.</w:t>
      </w:r>
    </w:p>
    <w:p>
      <w:pPr>
        <w:spacing w:after="140" w:line="276"/>
      </w:pPr>
      <w:r>
        <w:rPr>
          <w:rFonts w:ascii="Calibri" w:cs="Calibri" w:eastAsia="Calibri" w:hAnsi="Calibri"/>
          <w:b/>
          <w:bCs/>
          <w:color w:val="1F7A8C"/>
          <w:sz w:val="21"/>
          <w:szCs w:val="21"/>
        </w:rPr>
        <w:t xml:space="preserve">Two readings of one operator.  </w:t>
      </w:r>
      <w:r>
        <w:rPr>
          <w:rFonts w:ascii="Calibri" w:cs="Calibri" w:eastAsia="Calibri" w:hAnsi="Calibri"/>
          <w:color w:val="1A1F2B"/>
          <w:sz w:val="21"/>
          <w:szCs w:val="21"/>
        </w:rPr>
        <w:t xml:space="preserve">Feedforward/feedback analysis reads the matrix geometrically — where does flow go, and how much returns. Eigen/Schur analysis reads the same matrix spectrally — where does it settle, and how fast. The gap between those two readings is the central finding of the project.</w:t>
      </w:r>
    </w:p>
    <w:p>
      <w:pPr>
        <w:spacing w:after="140" w:line="276"/>
      </w:pPr>
      <w:r>
        <w:rPr>
          <w:rFonts w:ascii="Calibri" w:cs="Calibri" w:eastAsia="Calibri" w:hAnsi="Calibri"/>
          <w:b/>
          <w:bCs/>
          <w:color w:val="1F7A8C"/>
          <w:sz w:val="21"/>
          <w:szCs w:val="21"/>
        </w:rPr>
        <w:t xml:space="preserve">The intermediate scale.  </w:t>
      </w:r>
      <w:r>
        <w:rPr>
          <w:rFonts w:ascii="Calibri" w:cs="Calibri" w:eastAsia="Calibri" w:hAnsi="Calibri"/>
          <w:color w:val="1A1F2B"/>
          <w:sz w:val="21"/>
          <w:szCs w:val="21"/>
        </w:rPr>
        <w:t xml:space="preserve">Motif analysis sits between the single edge and the whole operator. It is where a global dynamical property becomes attributable to identifiable, named circuits.</w:t>
      </w:r>
    </w:p>
    <w:p>
      <w:pPr>
        <w:spacing w:after="140" w:line="276"/>
      </w:pPr>
      <w:r>
        <w:rPr>
          <w:rFonts w:ascii="Calibri" w:cs="Calibri" w:eastAsia="Calibri" w:hAnsi="Calibri"/>
          <w:b/>
          <w:bCs/>
          <w:color w:val="1F7A8C"/>
          <w:sz w:val="21"/>
          <w:szCs w:val="21"/>
        </w:rPr>
        <w:t xml:space="preserve">The test.  </w:t>
      </w:r>
      <w:r>
        <w:rPr>
          <w:rFonts w:ascii="Calibri" w:cs="Calibri" w:eastAsia="Calibri" w:hAnsi="Calibri"/>
          <w:color w:val="1A1F2B"/>
          <w:sz w:val="21"/>
          <w:szCs w:val="21"/>
        </w:rPr>
        <w:t xml:space="preserve">Machine learning is applied not for prediction but to test whether that intermediate scale is real — whether local three-node structure carries information about global dynamics, or merely describes it.</w:t>
      </w:r>
    </w:p>
    <w:p>
      <w:pPr>
        <w:pBdr>
          <w:bottom w:val="single" w:color="D7DEE7" w:sz="6"/>
        </w:pBdr>
        <w:spacing w:after="180" w:before="60"/>
      </w:pPr>
      <w:r>
        <w:rPr>
          <w:sz w:val="2"/>
          <w:szCs w:val="2"/>
        </w:rPr>
        <w:t xml:space="preserve"/>
      </w:r>
    </w:p>
    <w:p>
      <w:pPr>
        <w:pStyle w:val="Heading1"/>
        <w:spacing w:after="150" w:before="320"/>
      </w:pPr>
      <w:r>
        <w:rPr>
          <w:rFonts w:ascii="Cambria" w:cs="Cambria" w:eastAsia="Cambria" w:hAnsi="Cambria"/>
          <w:b/>
          <w:bCs/>
          <w:color w:val="14213D"/>
          <w:sz w:val="28"/>
          <w:szCs w:val="28"/>
        </w:rPr>
        <w:t xml:space="preserve">1.  Transposition</w:t>
      </w:r>
    </w:p>
    <w:p>
      <w:pPr>
        <w:spacing w:after="140" w:line="276"/>
      </w:pPr>
      <w:r>
        <w:rPr>
          <w:rFonts w:ascii="Calibri" w:cs="Calibri" w:eastAsia="Calibri" w:hAnsi="Calibri"/>
          <w:b/>
          <w:bCs/>
          <w:color w:val="1F7A8C"/>
          <w:sz w:val="21"/>
          <w:szCs w:val="21"/>
        </w:rPr>
        <w:t xml:space="preserve">What it is.  </w:t>
      </w:r>
      <w:r>
        <w:rPr>
          <w:rFonts w:ascii="Calibri" w:cs="Calibri" w:eastAsia="Calibri" w:hAnsi="Calibri"/>
          <w:color w:val="1A1F2B"/>
          <w:sz w:val="21"/>
          <w:szCs w:val="21"/>
        </w:rPr>
        <w:t xml:space="preserve">Converting the stored matrix from M[pre, post] — rows are presynaptic sources, columns are postsynaptic targets — into M[post, pre], where rows are targets and columns are sources, before any dynamical, spectral, or graph operation is performed.</w:t>
      </w:r>
    </w:p>
    <w:p>
      <w:pPr>
        <w:spacing w:after="140" w:line="276"/>
      </w:pPr>
      <w:r>
        <w:rPr>
          <w:rFonts w:ascii="Calibri" w:cs="Calibri" w:eastAsia="Calibri" w:hAnsi="Calibri"/>
          <w:b/>
          <w:bCs/>
          <w:color w:val="1F7A8C"/>
          <w:sz w:val="21"/>
          <w:szCs w:val="21"/>
        </w:rPr>
        <w:t xml:space="preserve">Why it is required.  </w:t>
      </w:r>
      <w:r>
        <w:rPr>
          <w:rFonts w:ascii="Calibri" w:cs="Calibri" w:eastAsia="Calibri" w:hAnsi="Calibri"/>
          <w:color w:val="1A1F2B"/>
          <w:sz w:val="21"/>
          <w:szCs w:val="21"/>
        </w:rPr>
        <w:t xml:space="preserve">The two conventions are transposes of one another. M[pre, post] is the natural table for a biologist: a row answers "what does this cell type project to." Every numerical and graph library instead reads M[i, j] as the influence of j on i — x[t+1] = Mx[t], dV/dt = AV, scipy.linalg.schur, numpy.linalg.eig, scipy.linalg.expm, controllability Gramians, networkx.add_edge. None raises an error on a source-row matrix; each silently reverses the causal statements that follow.</w:t>
      </w:r>
    </w:p>
    <w:p>
      <w:pPr>
        <w:spacing w:after="140" w:line="276"/>
      </w:pPr>
      <w:r>
        <w:rPr>
          <w:rFonts w:ascii="Calibri" w:cs="Calibri" w:eastAsia="Calibri" w:hAnsi="Calibri"/>
          <w:b/>
          <w:bCs/>
          <w:color w:val="1F7A8C"/>
          <w:sz w:val="21"/>
          <w:szCs w:val="21"/>
        </w:rPr>
        <w:t xml:space="preserve">Failure mode.  </w:t>
      </w:r>
      <w:r>
        <w:rPr>
          <w:rFonts w:ascii="Calibri" w:cs="Calibri" w:eastAsia="Calibri" w:hAnsi="Calibri"/>
          <w:color w:val="1A1F2B"/>
          <w:sz w:val="21"/>
          <w:szCs w:val="21"/>
        </w:rPr>
        <w:t xml:space="preserve">A transposed run is invisible to every structural diagnostic. Recurrency, order index, feedforward fraction and bandwidth are numerically identical under the reversed permutation, because the reversed ordering is exactly as good. The only symptoms are a reversed cell-type ordering and the absence of the trisynaptic pathway, both of which read as results.</w:t>
      </w:r>
    </w:p>
    <w:p>
      <w:pPr>
        <w:spacing w:after="60"/>
      </w:pPr>
      <w:r>
        <w:rPr>
          <w:sz w:val="2"/>
          <w:szCs w:val="2"/>
        </w:rPr>
        <w:t xml:space="preserve"/>
      </w:r>
    </w:p>
    <w:p>
      <w:pPr>
        <w:spacing w:after="100" w:line="276"/>
      </w:pPr>
      <w:r>
        <w:rPr>
          <w:rFonts w:ascii="Calibri" w:cs="Calibri" w:eastAsia="Calibri" w:hAnsi="Calibri"/>
          <w:b/>
          <w:bCs/>
          <w:color w:val="14213D"/>
          <w:sz w:val="21"/>
          <w:szCs w:val="21"/>
        </w:rPr>
        <w:t xml:space="preserve">What we gain</w:t>
      </w:r>
    </w:p>
    <w:p>
      <w:pPr>
        <w:pStyle w:val="ListParagraph"/>
        <w:numPr>
          <w:ilvl w:val="0"/>
          <w:numId w:val="2"/>
        </w:numPr>
        <w:spacing w:after="90" w:line="270"/>
      </w:pPr>
      <w:r>
        <w:rPr>
          <w:rFonts w:ascii="Calibri" w:cs="Calibri" w:eastAsia="Calibri" w:hAnsi="Calibri"/>
          <w:color w:val="1A1F2B"/>
          <w:sz w:val="20"/>
          <w:szCs w:val="20"/>
        </w:rPr>
        <w:t xml:space="preserve">Correct causal direction throughout: "mode n drives mode m", and "(I − M)⁻¹[i, j] is the response of cell i to input at cell j".</w:t>
      </w:r>
    </w:p>
    <w:p>
      <w:pPr>
        <w:pStyle w:val="ListParagraph"/>
        <w:numPr>
          <w:ilvl w:val="0"/>
          <w:numId w:val="2"/>
        </w:numPr>
        <w:spacing w:after="90" w:line="270"/>
      </w:pPr>
      <w:r>
        <w:rPr>
          <w:rFonts w:ascii="Calibri" w:cs="Calibri" w:eastAsia="Calibri" w:hAnsi="Calibri"/>
          <w:color w:val="1A1F2B"/>
          <w:sz w:val="20"/>
          <w:szCs w:val="20"/>
        </w:rPr>
        <w:t xml:space="preserve">Feedforward edges land strictly below the diagonal under a successful ordering, which makes upper-triangle mass directly interpretable as recurrency.</w:t>
      </w:r>
    </w:p>
    <w:p>
      <w:pPr>
        <w:pStyle w:val="ListParagraph"/>
        <w:numPr>
          <w:ilvl w:val="0"/>
          <w:numId w:val="2"/>
        </w:numPr>
        <w:spacing w:after="90" w:line="270"/>
      </w:pPr>
      <w:r>
        <w:rPr>
          <w:rFonts w:ascii="Calibri" w:cs="Calibri" w:eastAsia="Calibri" w:hAnsi="Calibri"/>
          <w:color w:val="1A1F2B"/>
          <w:sz w:val="20"/>
          <w:szCs w:val="20"/>
        </w:rPr>
        <w:t xml:space="preserve">The E/I block identities do not swap, so every statement about E→I versus I→E remains attached to the correct biology.</w:t>
      </w:r>
    </w:p>
    <w:p>
      <w:pPr>
        <w:pStyle w:val="ListParagraph"/>
        <w:numPr>
          <w:ilvl w:val="0"/>
          <w:numId w:val="2"/>
        </w:numPr>
        <w:spacing w:after="90" w:line="270"/>
      </w:pPr>
      <w:r>
        <w:rPr>
          <w:rFonts w:ascii="Calibri" w:cs="Calibri" w:eastAsia="Calibri" w:hAnsi="Calibri"/>
          <w:color w:val="1A1F2B"/>
          <w:sz w:val="20"/>
          <w:szCs w:val="20"/>
        </w:rPr>
        <w:t xml:space="preserve">Orientation became a verified property of the file rather than a remembered convention. Reconstructing M[post, pre] from the 1,641-row netlist and differencing against the stored CSV gives a residual of 1.414 as stored and 3.0 × 10⁻¹⁸ transposed.</w:t>
      </w:r>
    </w:p>
    <w:p>
      <w:pPr>
        <w:spacing w:after="80"/>
      </w:pPr>
      <w:r>
        <w:rPr>
          <w:sz w:val="2"/>
          <w:szCs w:val="2"/>
        </w:rPr>
        <w:t xml:space="preserve"/>
      </w:r>
    </w:p>
    <w:p>
      <w:pPr>
        <w:spacing w:after="100" w:line="276"/>
      </w:pPr>
      <w:r>
        <w:rPr>
          <w:rFonts w:ascii="Calibri" w:cs="Calibri" w:eastAsia="Calibri" w:hAnsi="Calibri"/>
          <w:b/>
          <w:bCs/>
          <w:color w:val="14213D"/>
          <w:sz w:val="21"/>
          <w:szCs w:val="21"/>
        </w:rPr>
        <w:t xml:space="preserve">The orientation oracle</w:t>
      </w:r>
    </w:p>
    <w:p>
      <w:pPr>
        <w:spacing w:after="140" w:line="276"/>
      </w:pPr>
      <w:r>
        <w:rPr>
          <w:rFonts w:ascii="Calibri" w:cs="Calibri" w:eastAsia="Calibri" w:hAnsi="Calibri"/>
          <w:color w:val="1A1F2B"/>
          <w:sz w:val="21"/>
          <w:szCs w:val="21"/>
        </w:rPr>
        <w:t xml:space="preserve">E/I identity is carried by the sign of outgoing weights, so the block sign pattern is itself an orientation test. The separation is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shd w:fill="14213D"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9"/>
                <w:szCs w:val="19"/>
              </w:rPr>
              <w:t xml:space="preserve">Block (source → receiver)</w:t>
            </w:r>
          </w:p>
        </w:tc>
        <w:tc>
          <w:tcPr>
            <w:tcW w:type="dxa" w:w="2980"/>
            <w:shd w:fill="14213D" w:color="auto" w:val="clear"/>
            <w:tcMar>
              <w:top w:type="dxa" w:w="70"/>
              <w:left w:type="dxa" w:w="110"/>
              <w:bottom w:type="dxa" w:w="70"/>
              <w:right w:type="dxa" w:w="110"/>
            </w:tcMar>
          </w:tcPr>
          <w:p>
            <w:pPr>
              <w:spacing w:after="0" w:line="250"/>
              <w:jc w:val="center"/>
            </w:pPr>
            <w:r>
              <w:rPr>
                <w:rFonts w:ascii="Calibri" w:cs="Calibri" w:eastAsia="Calibri" w:hAnsi="Calibri"/>
                <w:b/>
                <w:bCs/>
                <w:color w:val="FFFFFF"/>
                <w:sz w:val="19"/>
                <w:szCs w:val="19"/>
              </w:rPr>
              <w:t xml:space="preserve">M[post, pre] — correct</w:t>
            </w:r>
          </w:p>
        </w:tc>
        <w:tc>
          <w:tcPr>
            <w:tcW w:type="dxa" w:w="2980"/>
            <w:shd w:fill="14213D" w:color="auto" w:val="clear"/>
            <w:tcMar>
              <w:top w:type="dxa" w:w="70"/>
              <w:left w:type="dxa" w:w="110"/>
              <w:bottom w:type="dxa" w:w="70"/>
              <w:right w:type="dxa" w:w="110"/>
            </w:tcMar>
          </w:tcPr>
          <w:p>
            <w:pPr>
              <w:spacing w:after="0" w:line="250"/>
              <w:jc w:val="center"/>
            </w:pPr>
            <w:r>
              <w:rPr>
                <w:rFonts w:ascii="Calibri" w:cs="Calibri" w:eastAsia="Calibri" w:hAnsi="Calibri"/>
                <w:b/>
                <w:bCs/>
                <w:color w:val="FFFFFF"/>
                <w:sz w:val="19"/>
                <w:szCs w:val="19"/>
              </w:rPr>
              <w:t xml:space="preserve">M[pre, post] — flipped</w:t>
            </w:r>
          </w:p>
        </w:tc>
      </w:tr>
      <w:tr>
        <w:tc>
          <w:tcPr>
            <w:tcW w:type="dxa" w:w="3400"/>
            <w:shd w:fill="FFFFFF" w:color="auto" w:val="clear"/>
            <w:tcMar>
              <w:top w:type="dxa" w:w="70"/>
              <w:left w:type="dxa" w:w="110"/>
              <w:bottom w:type="dxa" w:w="70"/>
              <w:right w:type="dxa" w:w="110"/>
            </w:tcMar>
          </w:tcPr>
          <w:p>
            <w:pPr>
              <w:spacing w:after="0" w:line="250"/>
              <w:jc w:val="left"/>
            </w:pPr>
            <w:r>
              <w:rPr>
                <w:rFonts w:ascii="Calibri" w:cs="Calibri" w:eastAsia="Calibri" w:hAnsi="Calibri"/>
                <w:b/>
                <w:bCs/>
                <w:color w:val="1A1F2B"/>
                <w:sz w:val="19"/>
                <w:szCs w:val="19"/>
              </w:rPr>
              <w:t xml:space="preserve">E → E</w:t>
            </w:r>
          </w:p>
        </w:tc>
        <w:tc>
          <w:tcPr>
            <w:tcW w:type="dxa" w:w="2980"/>
            <w:shd w:fill="FFFFFF" w:color="auto" w:val="clear"/>
            <w:tcMar>
              <w:top w:type="dxa" w:w="70"/>
              <w:left w:type="dxa" w:w="110"/>
              <w:bottom w:type="dxa" w:w="70"/>
              <w:right w:type="dxa" w:w="110"/>
            </w:tcMar>
          </w:tcPr>
          <w:p>
            <w:pPr>
              <w:spacing w:after="0" w:line="250"/>
              <w:jc w:val="center"/>
            </w:pPr>
            <w:r>
              <w:rPr>
                <w:rFonts w:ascii="Calibri" w:cs="Calibri" w:eastAsia="Calibri" w:hAnsi="Calibri"/>
                <w:color w:val="1A1F2B"/>
                <w:sz w:val="19"/>
                <w:szCs w:val="19"/>
              </w:rPr>
              <w:t xml:space="preserve">100% positive (n = 382)</w:t>
            </w:r>
          </w:p>
        </w:tc>
        <w:tc>
          <w:tcPr>
            <w:tcW w:type="dxa" w:w="2980"/>
            <w:shd w:fill="FFFFFF" w:color="auto" w:val="clear"/>
            <w:tcMar>
              <w:top w:type="dxa" w:w="70"/>
              <w:left w:type="dxa" w:w="110"/>
              <w:bottom w:type="dxa" w:w="70"/>
              <w:right w:type="dxa" w:w="110"/>
            </w:tcMar>
          </w:tcPr>
          <w:p>
            <w:pPr>
              <w:spacing w:after="0" w:line="250"/>
              <w:jc w:val="center"/>
            </w:pPr>
            <w:r>
              <w:rPr>
                <w:rFonts w:ascii="Calibri" w:cs="Calibri" w:eastAsia="Calibri" w:hAnsi="Calibri"/>
                <w:color w:val="1A1F2B"/>
                <w:sz w:val="19"/>
                <w:szCs w:val="19"/>
              </w:rPr>
              <w:t xml:space="preserve">100% positive (n = 382)</w:t>
            </w:r>
          </w:p>
        </w:tc>
      </w:tr>
      <w:tr>
        <w:tc>
          <w:tcPr>
            <w:tcW w:type="dxa" w:w="3400"/>
            <w:shd w:fill="FFFFFF" w:color="auto" w:val="clear"/>
            <w:tcMar>
              <w:top w:type="dxa" w:w="70"/>
              <w:left w:type="dxa" w:w="110"/>
              <w:bottom w:type="dxa" w:w="70"/>
              <w:right w:type="dxa" w:w="110"/>
            </w:tcMar>
          </w:tcPr>
          <w:p>
            <w:pPr>
              <w:spacing w:after="0" w:line="250"/>
              <w:jc w:val="left"/>
            </w:pPr>
            <w:r>
              <w:rPr>
                <w:rFonts w:ascii="Calibri" w:cs="Calibri" w:eastAsia="Calibri" w:hAnsi="Calibri"/>
                <w:b/>
                <w:bCs/>
                <w:color w:val="1A1F2B"/>
                <w:sz w:val="19"/>
                <w:szCs w:val="19"/>
              </w:rPr>
              <w:t xml:space="preserve">E → I</w:t>
            </w:r>
          </w:p>
        </w:tc>
        <w:tc>
          <w:tcPr>
            <w:tcW w:type="dxa" w:w="2980"/>
            <w:shd w:fill="FFFFFF" w:color="auto" w:val="clear"/>
            <w:tcMar>
              <w:top w:type="dxa" w:w="70"/>
              <w:left w:type="dxa" w:w="110"/>
              <w:bottom w:type="dxa" w:w="70"/>
              <w:right w:type="dxa" w:w="110"/>
            </w:tcMar>
          </w:tcPr>
          <w:p>
            <w:pPr>
              <w:spacing w:after="0" w:line="250"/>
              <w:jc w:val="center"/>
            </w:pPr>
            <w:r>
              <w:rPr>
                <w:rFonts w:ascii="Calibri" w:cs="Calibri" w:eastAsia="Calibri" w:hAnsi="Calibri"/>
                <w:color w:val="1A1F2B"/>
                <w:sz w:val="19"/>
                <w:szCs w:val="19"/>
              </w:rPr>
              <w:t xml:space="preserve">100% positive (n = 352)</w:t>
            </w:r>
          </w:p>
        </w:tc>
        <w:tc>
          <w:tcPr>
            <w:tcW w:type="dxa" w:w="2980"/>
            <w:shd w:fill="FFFFFF" w:color="auto" w:val="clear"/>
            <w:tcMar>
              <w:top w:type="dxa" w:w="70"/>
              <w:left w:type="dxa" w:w="110"/>
              <w:bottom w:type="dxa" w:w="70"/>
              <w:right w:type="dxa" w:w="110"/>
            </w:tcMar>
          </w:tcPr>
          <w:p>
            <w:pPr>
              <w:spacing w:after="0" w:line="250"/>
              <w:jc w:val="center"/>
            </w:pPr>
            <w:r>
              <w:rPr>
                <w:rFonts w:ascii="Calibri" w:cs="Calibri" w:eastAsia="Calibri" w:hAnsi="Calibri"/>
                <w:color w:val="1A1F2B"/>
                <w:sz w:val="19"/>
                <w:szCs w:val="19"/>
              </w:rPr>
              <w:t xml:space="preserve">0% positive (n = 171)</w:t>
            </w:r>
          </w:p>
        </w:tc>
      </w:tr>
      <w:tr>
        <w:tc>
          <w:tcPr>
            <w:tcW w:type="dxa" w:w="3400"/>
            <w:shd w:fill="FFFFFF" w:color="auto" w:val="clear"/>
            <w:tcMar>
              <w:top w:type="dxa" w:w="70"/>
              <w:left w:type="dxa" w:w="110"/>
              <w:bottom w:type="dxa" w:w="70"/>
              <w:right w:type="dxa" w:w="110"/>
            </w:tcMar>
          </w:tcPr>
          <w:p>
            <w:pPr>
              <w:spacing w:after="0" w:line="250"/>
              <w:jc w:val="left"/>
            </w:pPr>
            <w:r>
              <w:rPr>
                <w:rFonts w:ascii="Calibri" w:cs="Calibri" w:eastAsia="Calibri" w:hAnsi="Calibri"/>
                <w:b/>
                <w:bCs/>
                <w:color w:val="1A1F2B"/>
                <w:sz w:val="19"/>
                <w:szCs w:val="19"/>
              </w:rPr>
              <w:t xml:space="preserve">I → E</w:t>
            </w:r>
          </w:p>
        </w:tc>
        <w:tc>
          <w:tcPr>
            <w:tcW w:type="dxa" w:w="2980"/>
            <w:shd w:fill="FFFFFF" w:color="auto" w:val="clear"/>
            <w:tcMar>
              <w:top w:type="dxa" w:w="70"/>
              <w:left w:type="dxa" w:w="110"/>
              <w:bottom w:type="dxa" w:w="70"/>
              <w:right w:type="dxa" w:w="110"/>
            </w:tcMar>
          </w:tcPr>
          <w:p>
            <w:pPr>
              <w:spacing w:after="0" w:line="250"/>
              <w:jc w:val="center"/>
            </w:pPr>
            <w:r>
              <w:rPr>
                <w:rFonts w:ascii="Calibri" w:cs="Calibri" w:eastAsia="Calibri" w:hAnsi="Calibri"/>
                <w:color w:val="1A1F2B"/>
                <w:sz w:val="19"/>
                <w:szCs w:val="19"/>
              </w:rPr>
              <w:t xml:space="preserve">0% positive (n = 171)</w:t>
            </w:r>
          </w:p>
        </w:tc>
        <w:tc>
          <w:tcPr>
            <w:tcW w:type="dxa" w:w="2980"/>
            <w:shd w:fill="FFFFFF" w:color="auto" w:val="clear"/>
            <w:tcMar>
              <w:top w:type="dxa" w:w="70"/>
              <w:left w:type="dxa" w:w="110"/>
              <w:bottom w:type="dxa" w:w="70"/>
              <w:right w:type="dxa" w:w="110"/>
            </w:tcMar>
          </w:tcPr>
          <w:p>
            <w:pPr>
              <w:spacing w:after="0" w:line="250"/>
              <w:jc w:val="center"/>
            </w:pPr>
            <w:r>
              <w:rPr>
                <w:rFonts w:ascii="Calibri" w:cs="Calibri" w:eastAsia="Calibri" w:hAnsi="Calibri"/>
                <w:color w:val="1A1F2B"/>
                <w:sz w:val="19"/>
                <w:szCs w:val="19"/>
              </w:rPr>
              <w:t xml:space="preserve">100% positive (n = 352)</w:t>
            </w:r>
          </w:p>
        </w:tc>
      </w:tr>
      <w:tr>
        <w:tc>
          <w:tcPr>
            <w:tcW w:type="dxa" w:w="3400"/>
            <w:shd w:fill="FFFFFF" w:color="auto" w:val="clear"/>
            <w:tcMar>
              <w:top w:type="dxa" w:w="70"/>
              <w:left w:type="dxa" w:w="110"/>
              <w:bottom w:type="dxa" w:w="70"/>
              <w:right w:type="dxa" w:w="110"/>
            </w:tcMar>
          </w:tcPr>
          <w:p>
            <w:pPr>
              <w:spacing w:after="0" w:line="250"/>
              <w:jc w:val="left"/>
            </w:pPr>
            <w:r>
              <w:rPr>
                <w:rFonts w:ascii="Calibri" w:cs="Calibri" w:eastAsia="Calibri" w:hAnsi="Calibri"/>
                <w:b/>
                <w:bCs/>
                <w:color w:val="1A1F2B"/>
                <w:sz w:val="19"/>
                <w:szCs w:val="19"/>
              </w:rPr>
              <w:t xml:space="preserve">I → I</w:t>
            </w:r>
          </w:p>
        </w:tc>
        <w:tc>
          <w:tcPr>
            <w:tcW w:type="dxa" w:w="2980"/>
            <w:shd w:fill="FFFFFF" w:color="auto" w:val="clear"/>
            <w:tcMar>
              <w:top w:type="dxa" w:w="70"/>
              <w:left w:type="dxa" w:w="110"/>
              <w:bottom w:type="dxa" w:w="70"/>
              <w:right w:type="dxa" w:w="110"/>
            </w:tcMar>
          </w:tcPr>
          <w:p>
            <w:pPr>
              <w:spacing w:after="0" w:line="250"/>
              <w:jc w:val="center"/>
            </w:pPr>
            <w:r>
              <w:rPr>
                <w:rFonts w:ascii="Calibri" w:cs="Calibri" w:eastAsia="Calibri" w:hAnsi="Calibri"/>
                <w:color w:val="1A1F2B"/>
                <w:sz w:val="19"/>
                <w:szCs w:val="19"/>
              </w:rPr>
              <w:t xml:space="preserve">0% positive (n = 736)</w:t>
            </w:r>
          </w:p>
        </w:tc>
        <w:tc>
          <w:tcPr>
            <w:tcW w:type="dxa" w:w="2980"/>
            <w:shd w:fill="FFFFFF" w:color="auto" w:val="clear"/>
            <w:tcMar>
              <w:top w:type="dxa" w:w="70"/>
              <w:left w:type="dxa" w:w="110"/>
              <w:bottom w:type="dxa" w:w="70"/>
              <w:right w:type="dxa" w:w="110"/>
            </w:tcMar>
          </w:tcPr>
          <w:p>
            <w:pPr>
              <w:spacing w:after="0" w:line="250"/>
              <w:jc w:val="center"/>
            </w:pPr>
            <w:r>
              <w:rPr>
                <w:rFonts w:ascii="Calibri" w:cs="Calibri" w:eastAsia="Calibri" w:hAnsi="Calibri"/>
                <w:color w:val="1A1F2B"/>
                <w:sz w:val="19"/>
                <w:szCs w:val="19"/>
              </w:rPr>
              <w:t xml:space="preserve">0% positive (n = 736)</w:t>
            </w:r>
          </w:p>
        </w:tc>
      </w:tr>
    </w:tbl>
    <w:p>
      <w:pPr>
        <w:spacing w:after="1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1F4F8" w:color="auto" w:val="clear"/>
            <w:tcMar>
              <w:top w:type="dxa" w:w="130"/>
              <w:left w:type="dxa" w:w="160"/>
              <w:bottom w:type="dxa" w:w="130"/>
              <w:right w:type="dxa" w:w="160"/>
            </w:tcMar>
          </w:tcPr>
          <w:p>
            <w:pPr>
              <w:spacing w:after="0" w:line="270"/>
            </w:pPr>
            <w:r>
              <w:rPr>
                <w:rFonts w:ascii="Calibri" w:cs="Calibri" w:eastAsia="Calibri" w:hAnsi="Calibri"/>
                <w:color w:val="1A1F2B"/>
                <w:sz w:val="20"/>
                <w:szCs w:val="20"/>
              </w:rPr>
              <w:t xml:space="preserve">The check runs at every loader boundary: a transposed matrix raises rather than returning a plausible result with reversed causation. It needs only the matrix and the class labels, so it also covers motif blocks and submatrices, which the netlist-residual test cannot reach.</w:t>
            </w:r>
          </w:p>
        </w:tc>
      </w:tr>
    </w:tbl>
    <w:p>
      <w:pPr>
        <w:spacing w:after="120"/>
      </w:pPr>
      <w:r>
        <w:rPr>
          <w:sz w:val="2"/>
          <w:szCs w:val="2"/>
        </w:rPr>
        <w:t xml:space="preserve"/>
      </w:r>
    </w:p>
    <w:p>
      <w:pPr>
        <w:spacing w:after="140" w:line="276"/>
      </w:pPr>
      <w:r>
        <w:rPr>
          <w:rFonts w:ascii="Calibri" w:cs="Calibri" w:eastAsia="Calibri" w:hAnsi="Calibri"/>
          <w:i/>
          <w:iCs/>
          <w:color w:val="5A6472"/>
          <w:sz w:val="18"/>
          <w:szCs w:val="18"/>
        </w:rPr>
        <w:t xml:space="preserve">Sources: docs/TRANSPOSE_WARNINGS.md; docs/orientation_convention_proposal.md; tarjan_reorder/ORIENTATION_AUDIT.md.</w:t>
      </w:r>
    </w:p>
    <w:p>
      <w:pPr>
        <w:pBdr>
          <w:bottom w:val="single" w:color="D7DEE7" w:sz="6"/>
        </w:pBdr>
        <w:spacing w:after="180" w:before="60"/>
      </w:pPr>
      <w:r>
        <w:rPr>
          <w:sz w:val="2"/>
          <w:szCs w:val="2"/>
        </w:rPr>
        <w:t xml:space="preserve"/>
      </w:r>
    </w:p>
    <w:p>
      <w:pPr>
        <w:pStyle w:val="Heading1"/>
        <w:spacing w:after="150" w:before="320"/>
      </w:pPr>
      <w:r>
        <w:rPr>
          <w:rFonts w:ascii="Cambria" w:cs="Cambria" w:eastAsia="Cambria" w:hAnsi="Cambria"/>
          <w:b/>
          <w:bCs/>
          <w:color w:val="14213D"/>
          <w:sz w:val="28"/>
          <w:szCs w:val="28"/>
        </w:rPr>
        <w:t xml:space="preserve">2.  Normalisation, transform, and scaling</w:t>
      </w:r>
    </w:p>
    <w:p>
      <w:pPr>
        <w:spacing w:after="140" w:line="276"/>
      </w:pPr>
      <w:r>
        <w:rPr>
          <w:rFonts w:ascii="Calibri" w:cs="Calibri" w:eastAsia="Calibri" w:hAnsi="Calibri"/>
          <w:b/>
          <w:bCs/>
          <w:color w:val="1F7A8C"/>
          <w:sz w:val="21"/>
          <w:szCs w:val="21"/>
        </w:rPr>
        <w:t xml:space="preserve">What they are.  </w:t>
      </w:r>
      <w:r>
        <w:rPr>
          <w:rFonts w:ascii="Calibri" w:cs="Calibri" w:eastAsia="Calibri" w:hAnsi="Calibri"/>
          <w:color w:val="1A1F2B"/>
          <w:sz w:val="21"/>
          <w:szCs w:val="21"/>
        </w:rPr>
        <w:t xml:space="preserve">Three distinct operations that are often conflated. Normalisation rescales the operator so that its spectral radius meets a target. Transformation changes the variable — a logarithm, or a sign-preserving logarithm — so that a heavy-tailed quantity becomes tractable. Scaling standardises each feature to comparable range for a learning algorithm. Each answers a different problem and they are not interchangeable.</w:t>
      </w:r>
    </w:p>
    <w:p>
      <w:pPr>
        <w:spacing w:after="140" w:line="276"/>
      </w:pPr>
      <w:r>
        <w:rPr>
          <w:rFonts w:ascii="Calibri" w:cs="Calibri" w:eastAsia="Calibri" w:hAnsi="Calibri"/>
          <w:b/>
          <w:bCs/>
          <w:color w:val="1F7A8C"/>
          <w:sz w:val="21"/>
          <w:szCs w:val="21"/>
        </w:rPr>
        <w:t xml:space="preserve">Why they are required.  </w:t>
      </w:r>
      <w:r>
        <w:rPr>
          <w:rFonts w:ascii="Calibri" w:cs="Calibri" w:eastAsia="Calibri" w:hAnsi="Calibri"/>
          <w:color w:val="1A1F2B"/>
          <w:sz w:val="21"/>
          <w:szCs w:val="21"/>
        </w:rPr>
        <w:t xml:space="preserve">Raw spectral radius is 26,213. At native scale the linear system diverges, and the resolvent, Neumann series, Gramian and matrix-power computations overflow or return uninterpretable values. Coupling magnitudes span roughly eight orders of magnitude, so means are set by a handful of edges and medians with log scales are required. The neural-mass steady state exists only if the map is contractive, hence α = 0.9.</w:t>
      </w:r>
    </w:p>
    <w:p>
      <w:pPr>
        <w:spacing w:after="60"/>
      </w:pPr>
      <w:r>
        <w:rPr>
          <w:sz w:val="2"/>
          <w:szCs w:val="2"/>
        </w:rPr>
        <w:t xml:space="preserve"/>
      </w:r>
    </w:p>
    <w:p>
      <w:pPr>
        <w:spacing w:after="100" w:line="276"/>
      </w:pPr>
      <w:r>
        <w:rPr>
          <w:rFonts w:ascii="Calibri" w:cs="Calibri" w:eastAsia="Calibri" w:hAnsi="Calibri"/>
          <w:b/>
          <w:bCs/>
          <w:color w:val="14213D"/>
          <w:sz w:val="21"/>
          <w:szCs w:val="21"/>
        </w:rPr>
        <w:t xml:space="preserve">The rules we use, and why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3000"/>
            <w:shd w:fill="14213D"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8"/>
                <w:szCs w:val="18"/>
              </w:rPr>
              <w:t xml:space="preserve">Context</w:t>
            </w:r>
          </w:p>
        </w:tc>
        <w:tc>
          <w:tcPr>
            <w:tcW w:type="dxa" w:w="2700"/>
            <w:shd w:fill="14213D"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8"/>
                <w:szCs w:val="18"/>
              </w:rPr>
              <w:t xml:space="preserve">Transform</w:t>
            </w:r>
          </w:p>
        </w:tc>
        <w:tc>
          <w:tcPr>
            <w:tcW w:type="dxa" w:w="3660"/>
            <w:shd w:fill="14213D"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8"/>
                <w:szCs w:val="18"/>
              </w:rPr>
              <w:t xml:space="preserve">Reason</w:t>
            </w:r>
          </w:p>
        </w:tc>
      </w:tr>
      <w:tr>
        <w:tc>
          <w:tcPr>
            <w:tcW w:type="dxa" w:w="300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Schur modes, propagation, linear systems</w:t>
            </w:r>
          </w:p>
        </w:tc>
        <w:tc>
          <w:tcPr>
            <w:tcW w:type="dxa" w:w="270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ρ(M) = 0.95</w:t>
            </w:r>
          </w:p>
        </w:tc>
        <w:tc>
          <w:tcPr>
            <w:tcW w:type="dxa" w:w="36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matched and stable across with-self / no-self variants</w:t>
            </w:r>
          </w:p>
        </w:tc>
      </w:tr>
      <w:tr>
        <w:tc>
          <w:tcPr>
            <w:tcW w:type="dxa" w:w="300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Inhibitory stable-response analyses</w:t>
            </w:r>
          </w:p>
        </w:tc>
        <w:tc>
          <w:tcPr>
            <w:tcW w:type="dxa" w:w="270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ρ(M) = 0.85</w:t>
            </w:r>
          </w:p>
        </w:tc>
        <w:tc>
          <w:tcPr>
            <w:tcW w:type="dxa" w:w="36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keeps resolvent, Neumann and Gramian terms in range</w:t>
            </w:r>
          </w:p>
        </w:tc>
      </w:tr>
      <w:tr>
        <w:tc>
          <w:tcPr>
            <w:tcW w:type="dxa" w:w="300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Jacobian</w:t>
            </w:r>
          </w:p>
        </w:tc>
        <w:tc>
          <w:tcPr>
            <w:tcW w:type="dxa" w:w="270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ρ(W) = 0.95, on W and never on J</w:t>
            </w:r>
          </w:p>
        </w:tc>
        <w:tc>
          <w:tcPr>
            <w:tcW w:type="dxa" w:w="36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scaling J rescales the leak and silently changes τ</w:t>
            </w:r>
          </w:p>
        </w:tc>
      </w:tr>
      <w:tr>
        <w:tc>
          <w:tcPr>
            <w:tcW w:type="dxa" w:w="300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Neural-mass target</w:t>
            </w:r>
          </w:p>
        </w:tc>
        <w:tc>
          <w:tcPr>
            <w:tcW w:type="dxa" w:w="270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S = α·Mᵀ/ρ(Mᵀ), α = 0.9</w:t>
            </w:r>
          </w:p>
        </w:tc>
        <w:tc>
          <w:tcPr>
            <w:tcW w:type="dxa" w:w="36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the map must be contractive or no fixed point exists</w:t>
            </w:r>
          </w:p>
        </w:tc>
      </w:tr>
      <w:tr>
        <w:tc>
          <w:tcPr>
            <w:tcW w:type="dxa" w:w="300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Orbit-count features</w:t>
            </w:r>
          </w:p>
        </w:tc>
        <w:tc>
          <w:tcPr>
            <w:tcW w:type="dxa" w:w="270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log1p, then z-score per feature</w:t>
            </w:r>
          </w:p>
        </w:tc>
        <w:tc>
          <w:tcPr>
            <w:tcW w:type="dxa" w:w="36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heavy-tailed counts; monotone, so injectivity is preserved</w:t>
            </w:r>
          </w:p>
        </w:tc>
      </w:tr>
      <w:tr>
        <w:tc>
          <w:tcPr>
            <w:tcW w:type="dxa" w:w="300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Coupling as a feature</w:t>
            </w:r>
          </w:p>
        </w:tc>
        <w:tc>
          <w:tcPr>
            <w:tcW w:type="dxa" w:w="270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sign(x) · log1p(|x|)</w:t>
            </w:r>
          </w:p>
        </w:tc>
        <w:tc>
          <w:tcPr>
            <w:tcW w:type="dxa" w:w="36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preserves Dale sign across eight orders of magnitude</w:t>
            </w:r>
          </w:p>
        </w:tc>
      </w:tr>
    </w:tbl>
    <w:p>
      <w:pPr>
        <w:spacing w:after="140"/>
      </w:pPr>
      <w:r>
        <w:rPr>
          <w:sz w:val="2"/>
          <w:szCs w:val="2"/>
        </w:rPr>
        <w:t xml:space="preserve"/>
      </w:r>
    </w:p>
    <w:p>
      <w:pPr>
        <w:spacing w:after="100" w:line="276"/>
      </w:pPr>
      <w:r>
        <w:rPr>
          <w:rFonts w:ascii="Calibri" w:cs="Calibri" w:eastAsia="Calibri" w:hAnsi="Calibri"/>
          <w:b/>
          <w:bCs/>
          <w:color w:val="14213D"/>
          <w:sz w:val="21"/>
          <w:szCs w:val="21"/>
        </w:rPr>
        <w:t xml:space="preserve">What we gain</w:t>
      </w:r>
    </w:p>
    <w:p>
      <w:pPr>
        <w:pStyle w:val="ListParagraph"/>
        <w:numPr>
          <w:ilvl w:val="0"/>
          <w:numId w:val="2"/>
        </w:numPr>
        <w:spacing w:after="90" w:line="270"/>
      </w:pPr>
      <w:r>
        <w:rPr>
          <w:rFonts w:ascii="Calibri" w:cs="Calibri" w:eastAsia="Calibri" w:hAnsi="Calibri"/>
          <w:color w:val="1A1F2B"/>
          <w:sz w:val="20"/>
          <w:szCs w:val="20"/>
        </w:rPr>
        <w:t xml:space="preserve">Comparability. With-self and no-self variants are comparable only after matched normalisation; otherwise the comparison is dominated by change in overall gain rather than in structure.</w:t>
      </w:r>
    </w:p>
    <w:p>
      <w:pPr>
        <w:pStyle w:val="ListParagraph"/>
        <w:numPr>
          <w:ilvl w:val="0"/>
          <w:numId w:val="2"/>
        </w:numPr>
        <w:spacing w:after="90" w:line="270"/>
      </w:pPr>
      <w:r>
        <w:rPr>
          <w:rFonts w:ascii="Calibri" w:cs="Calibri" w:eastAsia="Calibri" w:hAnsi="Calibri"/>
          <w:color w:val="1A1F2B"/>
          <w:sz w:val="20"/>
          <w:szCs w:val="20"/>
        </w:rPr>
        <w:t xml:space="preserve">Separation of gain from geometry. Normalising W and never J holds the membrane leak fixed, so an inhibitory gain sweep varies synaptic gain alone.</w:t>
      </w:r>
    </w:p>
    <w:p>
      <w:pPr>
        <w:pStyle w:val="ListParagraph"/>
        <w:numPr>
          <w:ilvl w:val="0"/>
          <w:numId w:val="2"/>
        </w:numPr>
        <w:spacing w:after="90" w:line="270"/>
      </w:pPr>
      <w:r>
        <w:rPr>
          <w:rFonts w:ascii="Calibri" w:cs="Calibri" w:eastAsia="Calibri" w:hAnsi="Calibri"/>
          <w:color w:val="1A1F2B"/>
          <w:sz w:val="20"/>
          <w:szCs w:val="20"/>
        </w:rPr>
        <w:t xml:space="preserve">One class of bug eliminated. Spectral-radius normalisation is transpose-invariant, whereas row- and column-L1 normalisation swap meaning under transposition. Choosing ρ removes an entire family of orientation errors.</w:t>
      </w:r>
    </w:p>
    <w:p>
      <w:pPr>
        <w:pStyle w:val="ListParagraph"/>
        <w:numPr>
          <w:ilvl w:val="0"/>
          <w:numId w:val="2"/>
        </w:numPr>
        <w:spacing w:after="90" w:line="270"/>
      </w:pPr>
      <w:r>
        <w:rPr>
          <w:rFonts w:ascii="Calibri" w:cs="Calibri" w:eastAsia="Calibri" w:hAnsi="Calibri"/>
          <w:color w:val="1A1F2B"/>
          <w:sz w:val="20"/>
          <w:szCs w:val="20"/>
        </w:rPr>
        <w:t xml:space="preserve">Learnability. Orbit counts are heavy-tailed; without log1p and per-feature standardisation the largest count dominates every gradient. log1p is strictly monotone and elementwise, so distinct count vectors remain distinct and the expressivity guarantee is preserved.</w:t>
      </w:r>
    </w:p>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1F4F8" w:color="auto" w:val="clear"/>
            <w:tcMar>
              <w:top w:type="dxa" w:w="130"/>
              <w:left w:type="dxa" w:w="160"/>
              <w:bottom w:type="dxa" w:w="130"/>
              <w:right w:type="dxa" w:w="160"/>
            </w:tcMar>
          </w:tcPr>
          <w:p>
            <w:pPr>
              <w:spacing w:after="0" w:line="270"/>
            </w:pPr>
            <w:r>
              <w:rPr>
                <w:rFonts w:ascii="Calibri" w:cs="Calibri" w:eastAsia="Calibri" w:hAnsi="Calibri"/>
                <w:color w:val="1A1F2B"/>
                <w:sz w:val="20"/>
                <w:szCs w:val="20"/>
              </w:rPr>
              <w:t xml:space="preserve">Cost. Normalisation makes magnitudes conditional on an arbitrary constant, so defensible claims are ordinal and comparative. Transient amplification is also basis-dependent. The same operator, under a similarity transform that leaves the spectrum identical to 4 × 10⁻¹⁵, gives peak amplification of 27× in extensive population activity, 575× under an A/√q split, and 47,695× in per-cell firing rate. Stability and the spectral abscissa are invariant; peak amplification and the numerical abscissa are not. The norm is declared explicitly — Euclidean on extensive population activity, since q·r is total spike output and therefore what downstream populations receive — and the alternatives are reported alongside.</w:t>
            </w:r>
          </w:p>
        </w:tc>
      </w:tr>
    </w:tbl>
    <w:p>
      <w:pPr>
        <w:spacing w:after="120"/>
      </w:pPr>
      <w:r>
        <w:rPr>
          <w:sz w:val="2"/>
          <w:szCs w:val="2"/>
        </w:rPr>
        <w:t xml:space="preserve"/>
      </w:r>
    </w:p>
    <w:p>
      <w:pPr>
        <w:spacing w:after="140" w:line="276"/>
      </w:pPr>
      <w:r>
        <w:rPr>
          <w:rFonts w:ascii="Calibri" w:cs="Calibri" w:eastAsia="Calibri" w:hAnsi="Calibri"/>
          <w:i/>
          <w:iCs/>
          <w:color w:val="5A6472"/>
          <w:sz w:val="18"/>
          <w:szCs w:val="18"/>
        </w:rPr>
        <w:t xml:space="preserve">Sources: schur_decomp/README.md; jacobian_analysis/README.md; docs/WEIGHTS_VS_TOPOLOGY.md §3.</w:t>
      </w:r>
    </w:p>
    <w:p>
      <w:pPr>
        <w:pBdr>
          <w:bottom w:val="single" w:color="D7DEE7" w:sz="6"/>
        </w:pBdr>
        <w:spacing w:after="180" w:before="60"/>
      </w:pPr>
      <w:r>
        <w:rPr>
          <w:sz w:val="2"/>
          <w:szCs w:val="2"/>
        </w:rPr>
        <w:t xml:space="preserve"/>
      </w:r>
    </w:p>
    <w:p>
      <w:pPr>
        <w:pStyle w:val="Heading1"/>
        <w:spacing w:after="150" w:before="320"/>
      </w:pPr>
      <w:r>
        <w:rPr>
          <w:rFonts w:ascii="Cambria" w:cs="Cambria" w:eastAsia="Cambria" w:hAnsi="Cambria"/>
          <w:b/>
          <w:bCs/>
          <w:color w:val="14213D"/>
          <w:sz w:val="28"/>
          <w:szCs w:val="28"/>
        </w:rPr>
        <w:t xml:space="preserve">3.  Eigenvalues and eigenvectors</w:t>
      </w:r>
    </w:p>
    <w:p>
      <w:pPr>
        <w:spacing w:after="140" w:line="276"/>
      </w:pPr>
      <w:r>
        <w:rPr>
          <w:rFonts w:ascii="Calibri" w:cs="Calibri" w:eastAsia="Calibri" w:hAnsi="Calibri"/>
          <w:b/>
          <w:bCs/>
          <w:color w:val="1F7A8C"/>
          <w:sz w:val="21"/>
          <w:szCs w:val="21"/>
        </w:rPr>
        <w:t xml:space="preserve">What it is.  </w:t>
      </w:r>
      <w:r>
        <w:rPr>
          <w:rFonts w:ascii="Calibri" w:cs="Calibri" w:eastAsia="Calibri" w:hAnsi="Calibri"/>
          <w:color w:val="1A1F2B"/>
          <w:sz w:val="21"/>
          <w:szCs w:val="21"/>
        </w:rPr>
        <w:t xml:space="preserve">Spectral decomposition of the oriented, normalised operator — and, because this matrix is strongly non-normal, the extensions that eigenvalues alone cannot supply: Schur decomposition A = QTQ*, the spectral, numerical and pseudospectral abscissas, ε-pseudospectra, and the Kreiss constant.</w:t>
      </w:r>
    </w:p>
    <w:p>
      <w:pPr>
        <w:spacing w:after="140" w:line="276"/>
      </w:pPr>
      <w:r>
        <w:rPr>
          <w:rFonts w:ascii="Calibri" w:cs="Calibri" w:eastAsia="Calibri" w:hAnsi="Calibri"/>
          <w:b/>
          <w:bCs/>
          <w:color w:val="1F7A8C"/>
          <w:sz w:val="21"/>
          <w:szCs w:val="21"/>
        </w:rPr>
        <w:t xml:space="preserve">Why it is required, and why it is not sufficient.  </w:t>
      </w:r>
      <w:r>
        <w:rPr>
          <w:rFonts w:ascii="Calibri" w:cs="Calibri" w:eastAsia="Calibri" w:hAnsi="Calibri"/>
          <w:color w:val="1A1F2B"/>
          <w:sz w:val="21"/>
          <w:szCs w:val="21"/>
        </w:rPr>
        <w:t xml:space="preserve">Eigenvalues answer where a linear system ends up: whether it is stable, on what timescales, and in which dominant direction. They say almost nothing about what it does first. For a normal matrix that distinction does not arise, because the spectral and numerical abscissas coincide. This matrix is not normal: the Henrici departure from normality is 77.17, which is 99.3% of the Frobenius norm of the Jacobian, and the eigenvector condition number is 9.9 × 10⁴. Modal directions are therefore not separately excitable and a single mode’s time constant cannot be isolated. Used alone, eigenvalues mislead.</w:t>
      </w:r>
    </w:p>
    <w:p>
      <w:pPr>
        <w:spacing w:after="140" w:line="276"/>
      </w:pPr>
      <w:r>
        <w:rPr>
          <w:rFonts w:ascii="Calibri" w:cs="Calibri" w:eastAsia="Calibri" w:hAnsi="Calibri"/>
          <w:b/>
          <w:bCs/>
          <w:color w:val="1F7A8C"/>
          <w:sz w:val="21"/>
          <w:szCs w:val="21"/>
        </w:rPr>
        <w:t xml:space="preserve">Why Schur rather than eigendecomposition.  </w:t>
      </w:r>
      <w:r>
        <w:rPr>
          <w:rFonts w:ascii="Calibri" w:cs="Calibri" w:eastAsia="Calibri" w:hAnsi="Calibri"/>
          <w:color w:val="1A1F2B"/>
          <w:sz w:val="21"/>
          <w:szCs w:val="21"/>
        </w:rPr>
        <w:t xml:space="preserve">Q is unitary, so Schur coordinates are numerically stable where the modal basis is not. T’s diagonal carries the spectrum; its upper triangle preserves mode-to-mode coupling, keeping the cascade visible rather than collapsed into a diagonal. A non-zero T[m, n] with n &gt; m means mode n drives mode m.</w:t>
      </w:r>
    </w:p>
    <w:p>
      <w:pPr>
        <w:spacing w:after="60"/>
      </w:pPr>
      <w:r>
        <w:rPr>
          <w:sz w:val="2"/>
          <w:szCs w:val="2"/>
        </w:rPr>
        <w:t xml:space="preserve"/>
      </w:r>
    </w:p>
    <w:p>
      <w:pPr>
        <w:spacing w:after="100" w:line="276"/>
      </w:pPr>
      <w:r>
        <w:rPr>
          <w:rFonts w:ascii="Calibri" w:cs="Calibri" w:eastAsia="Calibri" w:hAnsi="Calibri"/>
          <w:b/>
          <w:bCs/>
          <w:color w:val="14213D"/>
          <w:sz w:val="21"/>
          <w:szCs w:val="21"/>
        </w:rPr>
        <w:t xml:space="preserve">What we 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300"/>
        <w:gridCol w:w="3960"/>
      </w:tblGrid>
      <w:tr>
        <w:trPr>
          <w:tblHeader/>
        </w:trPr>
        <w:tc>
          <w:tcPr>
            <w:tcW w:type="dxa" w:w="3100"/>
            <w:shd w:fill="14213D"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8"/>
                <w:szCs w:val="18"/>
              </w:rPr>
              <w:t xml:space="preserve">Quantity</w:t>
            </w:r>
          </w:p>
        </w:tc>
        <w:tc>
          <w:tcPr>
            <w:tcW w:type="dxa" w:w="2300"/>
            <w:shd w:fill="14213D"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Value</w:t>
            </w:r>
          </w:p>
        </w:tc>
        <w:tc>
          <w:tcPr>
            <w:tcW w:type="dxa" w:w="3960"/>
            <w:shd w:fill="14213D"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8"/>
                <w:szCs w:val="18"/>
              </w:rPr>
              <w:t xml:space="preserve">What it establishes</w:t>
            </w:r>
          </w:p>
        </w:tc>
      </w:tr>
      <w:tr>
        <w:tc>
          <w:tcPr>
            <w:tcW w:type="dxa" w:w="310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Spectral abscissa α(J)</w:t>
            </w:r>
          </w:p>
        </w:tc>
        <w:tc>
          <w:tcPr>
            <w:tcW w:type="dxa" w:w="23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−0.0500</w:t>
            </w:r>
          </w:p>
        </w:tc>
        <w:tc>
          <w:tcPr>
            <w:tcW w:type="dxa" w:w="39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stable; slowest mode decays with time constant 20τ</w:t>
            </w:r>
          </w:p>
        </w:tc>
      </w:tr>
      <w:tr>
        <w:tc>
          <w:tcPr>
            <w:tcW w:type="dxa" w:w="310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Numerical abscissa ω(J)</w:t>
            </w:r>
          </w:p>
        </w:tc>
        <w:tc>
          <w:tcPr>
            <w:tcW w:type="dxa" w:w="23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29.58</w:t>
            </w:r>
          </w:p>
        </w:tc>
        <w:tc>
          <w:tcPr>
            <w:tcW w:type="dxa" w:w="39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growth rate at t = 0 is strongly positive</w:t>
            </w:r>
          </w:p>
        </w:tc>
      </w:tr>
      <w:tr>
        <w:tc>
          <w:tcPr>
            <w:tcW w:type="dxa" w:w="310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Abscissa gap</w:t>
            </w:r>
          </w:p>
        </w:tc>
        <w:tc>
          <w:tcPr>
            <w:tcW w:type="dxa" w:w="23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29.63</w:t>
            </w:r>
          </w:p>
        </w:tc>
        <w:tc>
          <w:tcPr>
            <w:tcW w:type="dxa" w:w="39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the entire gap is non-normal transient structure</w:t>
            </w:r>
          </w:p>
        </w:tc>
      </w:tr>
      <w:tr>
        <w:tc>
          <w:tcPr>
            <w:tcW w:type="dxa" w:w="310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Peak amplification</w:t>
            </w:r>
          </w:p>
        </w:tc>
        <w:tc>
          <w:tcPr>
            <w:tcW w:type="dxa" w:w="23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27.11× at t = 1.2τ</w:t>
            </w:r>
          </w:p>
        </w:tc>
        <w:tc>
          <w:tcPr>
            <w:tcW w:type="dxa" w:w="39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worst-case transient gain</w:t>
            </w:r>
          </w:p>
        </w:tc>
      </w:tr>
      <w:tr>
        <w:tc>
          <w:tcPr>
            <w:tcW w:type="dxa" w:w="310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Kreiss lower bound</w:t>
            </w:r>
          </w:p>
        </w:tc>
        <w:tc>
          <w:tcPr>
            <w:tcW w:type="dxa" w:w="23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18.47 at ε = 0.05</w:t>
            </w:r>
          </w:p>
        </w:tc>
        <w:tc>
          <w:tcPr>
            <w:tcW w:type="dxa" w:w="39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amplification guaranteed without simulating</w:t>
            </w:r>
          </w:p>
        </w:tc>
      </w:tr>
      <w:tr>
        <w:tc>
          <w:tcPr>
            <w:tcW w:type="dxa" w:w="310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Henrici departure</w:t>
            </w:r>
          </w:p>
        </w:tc>
        <w:tc>
          <w:tcPr>
            <w:tcW w:type="dxa" w:w="23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77.17  (99.3% of ‖J‖_F)</w:t>
            </w:r>
          </w:p>
        </w:tc>
        <w:tc>
          <w:tcPr>
            <w:tcW w:type="dxa" w:w="39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almost the whole matrix norm is non-normal</w:t>
            </w:r>
          </w:p>
        </w:tc>
      </w:tr>
      <w:tr>
        <w:tc>
          <w:tcPr>
            <w:tcW w:type="dxa" w:w="310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Normal surrogate, same spectrum</w:t>
            </w:r>
          </w:p>
        </w:tc>
        <w:tc>
          <w:tcPr>
            <w:tcW w:type="dxa" w:w="23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1.00×</w:t>
            </w:r>
          </w:p>
        </w:tc>
        <w:tc>
          <w:tcPr>
            <w:tcW w:type="dxa" w:w="39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the amplification is geometry, not spectrum</w:t>
            </w:r>
          </w:p>
        </w:tc>
      </w:tr>
    </w:tbl>
    <w:p>
      <w:pPr>
        <w:spacing w:after="140"/>
      </w:pPr>
      <w:r>
        <w:rPr>
          <w:sz w:val="2"/>
          <w:szCs w:val="2"/>
        </w:rPr>
        <w:t xml:space="preserve"/>
      </w:r>
    </w:p>
    <w:p>
      <w:pPr>
        <w:pStyle w:val="ListParagraph"/>
        <w:numPr>
          <w:ilvl w:val="0"/>
          <w:numId w:val="2"/>
        </w:numPr>
        <w:spacing w:after="90" w:line="270"/>
      </w:pPr>
      <w:r>
        <w:rPr>
          <w:rFonts w:ascii="Calibri" w:cs="Calibri" w:eastAsia="Calibri" w:hAnsi="Calibri"/>
          <w:color w:val="1A1F2B"/>
          <w:sz w:val="20"/>
          <w:szCs w:val="20"/>
        </w:rPr>
        <w:t xml:space="preserve">Timescale structure. Because λ_J = μ − 1 for each eigenvalue μ of W, the per-mode effective time constant is τ/(1 − μ). Re(μ) spans [−0.310, 0.950], giving effective time constants from 0.76τ to 20τ with 44 of 85 modes faster than τ — a stiff system with a 26-fold spread.</w:t>
      </w:r>
    </w:p>
    <w:p>
      <w:pPr>
        <w:pStyle w:val="ListParagraph"/>
        <w:numPr>
          <w:ilvl w:val="0"/>
          <w:numId w:val="2"/>
        </w:numPr>
        <w:spacing w:after="90" w:line="270"/>
      </w:pPr>
      <w:r>
        <w:rPr>
          <w:rFonts w:ascii="Calibri" w:cs="Calibri" w:eastAsia="Calibri" w:hAnsi="Calibri"/>
          <w:color w:val="1A1F2B"/>
          <w:sz w:val="20"/>
          <w:szCs w:val="20"/>
        </w:rPr>
        <w:t xml:space="preserve">Mode attribution. CA1 dominates 26 of 85 Schur modes; CA3 and DG 15 each; MEC 12. High-loading cells are predominantly inhibitory, and the leading modes are dominated by the same interneurons that top the disinhibition ranking.</w:t>
      </w:r>
    </w:p>
    <w:p>
      <w:pPr>
        <w:pStyle w:val="ListParagraph"/>
        <w:numPr>
          <w:ilvl w:val="0"/>
          <w:numId w:val="2"/>
        </w:numPr>
        <w:spacing w:after="90" w:line="270"/>
      </w:pPr>
      <w:r>
        <w:rPr>
          <w:rFonts w:ascii="Calibri" w:cs="Calibri" w:eastAsia="Calibri" w:hAnsi="Calibri"/>
          <w:color w:val="1A1F2B"/>
          <w:sz w:val="20"/>
          <w:szCs w:val="20"/>
        </w:rPr>
        <w:t xml:space="preserve">Reconciliation of the two readings. (I + J) − W = 0 to machine precision, so the discrete operator is the forward-Euler propagator of the Jacobian at dt = τ. The largest stable Euler step is 1.53τ, so our time step sits inside the stability region with roughly 50% margin, and ρ(exp(Jτ)) = 0.9512 against 0.95 for the Euler approximation.</w:t>
      </w:r>
    </w:p>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1F4F8" w:color="auto" w:val="clear"/>
            <w:tcMar>
              <w:top w:type="dxa" w:w="130"/>
              <w:left w:type="dxa" w:w="160"/>
              <w:bottom w:type="dxa" w:w="130"/>
              <w:right w:type="dxa" w:w="160"/>
            </w:tcMar>
          </w:tcPr>
          <w:p>
            <w:pPr>
              <w:spacing w:after="0" w:line="270"/>
            </w:pPr>
            <w:r>
              <w:rPr>
                <w:rFonts w:ascii="Calibri" w:cs="Calibri" w:eastAsia="Calibri" w:hAnsi="Calibri"/>
                <w:color w:val="1A1F2B"/>
                <w:sz w:val="20"/>
                <w:szCs w:val="20"/>
              </w:rPr>
              <w:t xml:space="preserve">Reading. Eigen-analysis answers where the circuit settles; the non-normal extensions answer what it does on the way there. In a memory circuit the transient is the part of interest, and a purely spectral reading predicts monotone decay at rate 0.05 — wrong about the entire first few τ of the response.</w:t>
            </w:r>
          </w:p>
        </w:tc>
      </w:tr>
    </w:tbl>
    <w:p>
      <w:pPr>
        <w:spacing w:after="120"/>
      </w:pPr>
      <w:r>
        <w:rPr>
          <w:sz w:val="2"/>
          <w:szCs w:val="2"/>
        </w:rPr>
        <w:t xml:space="preserve"/>
      </w:r>
    </w:p>
    <w:p>
      <w:pPr>
        <w:spacing w:after="140" w:line="276"/>
      </w:pPr>
      <w:r>
        <w:rPr>
          <w:rFonts w:ascii="Calibri" w:cs="Calibri" w:eastAsia="Calibri" w:hAnsi="Calibri"/>
          <w:i/>
          <w:iCs/>
          <w:color w:val="5A6472"/>
          <w:sz w:val="18"/>
          <w:szCs w:val="18"/>
        </w:rPr>
        <w:t xml:space="preserve">Sources: schur_decomp/01–10; jacobian_analysis/01_jacobian_construction.ipynb.</w:t>
      </w:r>
    </w:p>
    <w:p>
      <w:pPr>
        <w:pBdr>
          <w:bottom w:val="single" w:color="D7DEE7" w:sz="6"/>
        </w:pBdr>
        <w:spacing w:after="180" w:before="60"/>
      </w:pPr>
      <w:r>
        <w:rPr>
          <w:sz w:val="2"/>
          <w:szCs w:val="2"/>
        </w:rPr>
        <w:t xml:space="preserve"/>
      </w:r>
    </w:p>
    <w:p>
      <w:pPr>
        <w:pStyle w:val="Heading1"/>
        <w:spacing w:after="150" w:before="320"/>
      </w:pPr>
      <w:r>
        <w:rPr>
          <w:rFonts w:ascii="Cambria" w:cs="Cambria" w:eastAsia="Cambria" w:hAnsi="Cambria"/>
          <w:b/>
          <w:bCs/>
          <w:color w:val="14213D"/>
          <w:sz w:val="28"/>
          <w:szCs w:val="28"/>
        </w:rPr>
        <w:t xml:space="preserve">4.  Feedforward and feedback structure</w:t>
      </w:r>
    </w:p>
    <w:p>
      <w:pPr>
        <w:spacing w:after="140" w:line="276"/>
      </w:pPr>
      <w:r>
        <w:rPr>
          <w:rFonts w:ascii="Calibri" w:cs="Calibri" w:eastAsia="Calibri" w:hAnsi="Calibri"/>
          <w:b/>
          <w:bCs/>
          <w:color w:val="1F7A8C"/>
          <w:sz w:val="21"/>
          <w:szCs w:val="21"/>
        </w:rPr>
        <w:t xml:space="preserve">What it is.  </w:t>
      </w:r>
      <w:r>
        <w:rPr>
          <w:rFonts w:ascii="Calibri" w:cs="Calibri" w:eastAsia="Calibri" w:hAnsi="Calibri"/>
          <w:color w:val="1A1F2B"/>
          <w:sz w:val="21"/>
          <w:szCs w:val="21"/>
        </w:rPr>
        <w:t xml:space="preserve">Decomposing flow into forward and returning components, by two complementary means: a shared row/column permutation M′ = PᵀMP that places as much weight as possible below the diagonal, and a partition of the operator into E→E, E→I, I→E and I→I blocks.</w:t>
      </w:r>
    </w:p>
    <w:p>
      <w:pPr>
        <w:spacing w:after="140" w:line="276"/>
      </w:pPr>
      <w:r>
        <w:rPr>
          <w:rFonts w:ascii="Calibri" w:cs="Calibri" w:eastAsia="Calibri" w:hAnsi="Calibri"/>
          <w:b/>
          <w:bCs/>
          <w:color w:val="1F7A8C"/>
          <w:sz w:val="21"/>
          <w:szCs w:val="21"/>
        </w:rPr>
        <w:t xml:space="preserve">Why it is required.  </w:t>
      </w:r>
      <w:r>
        <w:rPr>
          <w:rFonts w:ascii="Calibri" w:cs="Calibri" w:eastAsia="Calibri" w:hAnsi="Calibri"/>
          <w:color w:val="1A1F2B"/>
          <w:sz w:val="21"/>
          <w:szCs w:val="21"/>
        </w:rPr>
        <w:t xml:space="preserve">"Feedforward" is a property of a connectome under an ordering, not of the connectome itself, so the claim is only as strong as the search and the null behind it. Two constraints follow. Only shared permutations are admissible: permuting rows independently of columns renames cells inconsistently. And the two objectives — backward-edge count and first-subdiagonal occupancy — are close to opposite on this graph, so they are reported separately rather than collapsed into one rank.</w:t>
      </w:r>
    </w:p>
    <w:p>
      <w:pPr>
        <w:spacing w:after="60"/>
      </w:pPr>
      <w:r>
        <w:rPr>
          <w:sz w:val="2"/>
          <w:szCs w:val="2"/>
        </w:rPr>
        <w:t xml:space="preserve"/>
      </w:r>
    </w:p>
    <w:p>
      <w:pPr>
        <w:spacing w:after="100" w:line="276"/>
      </w:pPr>
      <w:r>
        <w:rPr>
          <w:rFonts w:ascii="Calibri" w:cs="Calibri" w:eastAsia="Calibri" w:hAnsi="Calibri"/>
          <w:b/>
          <w:bCs/>
          <w:color w:val="14213D"/>
          <w:sz w:val="21"/>
          <w:szCs w:val="21"/>
        </w:rPr>
        <w:t xml:space="preserve">What we gain</w:t>
      </w:r>
    </w:p>
    <w:p>
      <w:pPr>
        <w:pStyle w:val="ListParagraph"/>
        <w:numPr>
          <w:ilvl w:val="0"/>
          <w:numId w:val="2"/>
        </w:numPr>
        <w:spacing w:after="90" w:line="270"/>
      </w:pPr>
      <w:r>
        <w:rPr>
          <w:rFonts w:ascii="Calibri" w:cs="Calibri" w:eastAsia="Calibri" w:hAnsi="Calibri"/>
          <w:color w:val="1A1F2B"/>
          <w:sz w:val="20"/>
          <w:szCs w:val="20"/>
        </w:rPr>
        <w:t xml:space="preserve">A quantified degree of feedforwardness. 94.96% of positive excitatory-to-excitatory edge weight points forward under the recovered ordering, against a permutation null mean of 0.486 (sd 0.124, n = 2,000), a best-of-2,000 random value of 0.815, and empirical p &lt; 0.005. Across the full matrix, 99.52% of all coupling magnitude can be placed below the diagonal.</w:t>
      </w:r>
    </w:p>
    <w:p>
      <w:pPr>
        <w:pStyle w:val="ListParagraph"/>
        <w:numPr>
          <w:ilvl w:val="0"/>
          <w:numId w:val="2"/>
        </w:numPr>
        <w:spacing w:after="90" w:line="270"/>
      </w:pPr>
      <w:r>
        <w:rPr>
          <w:rFonts w:ascii="Calibri" w:cs="Calibri" w:eastAsia="Calibri" w:hAnsi="Calibri"/>
          <w:color w:val="1A1F2B"/>
          <w:sz w:val="20"/>
          <w:szCs w:val="20"/>
        </w:rPr>
        <w:t xml:space="preserve">Independent recovery of known anatomy. The optimised ordering opens in superficial entorhinal layers, passes through CA3 and CA2 into CA1, and ends in subiculum and deep entorhinal layers. No anatomical information enters the optimisation, so the trisynaptic direction is recovered rather than assumed.</w:t>
      </w:r>
    </w:p>
    <w:p>
      <w:pPr>
        <w:pStyle w:val="ListParagraph"/>
        <w:numPr>
          <w:ilvl w:val="0"/>
          <w:numId w:val="2"/>
        </w:numPr>
        <w:spacing w:after="90" w:line="270"/>
      </w:pPr>
      <w:r>
        <w:rPr>
          <w:rFonts w:ascii="Calibri" w:cs="Calibri" w:eastAsia="Calibri" w:hAnsi="Calibri"/>
          <w:color w:val="1A1F2B"/>
          <w:sz w:val="20"/>
          <w:szCs w:val="20"/>
        </w:rPr>
        <w:t xml:space="preserve">A single SCC that is still near-feedforward. Every excitatory type is reachable from every other, yet the return edges carry roughly 5% of the weight.</w:t>
      </w:r>
    </w:p>
    <w:p>
      <w:pPr>
        <w:pStyle w:val="ListParagraph"/>
        <w:numPr>
          <w:ilvl w:val="0"/>
          <w:numId w:val="2"/>
        </w:numPr>
        <w:spacing w:after="90" w:line="270"/>
      </w:pPr>
      <w:r>
        <w:rPr>
          <w:rFonts w:ascii="Calibri" w:cs="Calibri" w:eastAsia="Calibri" w:hAnsi="Calibri"/>
          <w:color w:val="1A1F2B"/>
          <w:sz w:val="20"/>
          <w:szCs w:val="20"/>
        </w:rPr>
        <w:t xml:space="preserve">Inhibitory geometry relative to flow. Against the backbone coordinate: 285 feedforward and 578 feedback inhibitory edges, feedforward stronger per edge (mean |w| 0.00748 against 0.00444) and more local (mean displacement 10.5 against 21.8). Strong local feedforward inhibition with weak long-range feedback inhibition is consistent with the hippocampal microcircuit literature and checkable against it.</w:t>
      </w:r>
    </w:p>
    <w:p>
      <w:pPr>
        <w:pStyle w:val="ListParagraph"/>
        <w:numPr>
          <w:ilvl w:val="0"/>
          <w:numId w:val="2"/>
        </w:numPr>
        <w:spacing w:after="90" w:line="270"/>
      </w:pPr>
      <w:r>
        <w:rPr>
          <w:rFonts w:ascii="Calibri" w:cs="Calibri" w:eastAsia="Calibri" w:hAnsi="Calibri"/>
          <w:color w:val="1A1F2B"/>
          <w:sz w:val="20"/>
          <w:szCs w:val="20"/>
        </w:rPr>
        <w:t xml:space="preserve">Localisation of the amplifying structure. Block Frobenius norms: E→I 77.02, E→E 4.91, I→I 0.40, I→E 0.084 — nearly the whole matrix norm in one off-diagonal block with a very weak return path, the canonical geometry for non-normal amplification.</w:t>
      </w:r>
    </w:p>
    <w:p>
      <w:pPr>
        <w:spacing w:after="100"/>
      </w:pPr>
      <w:r>
        <w:rPr>
          <w:sz w:val="2"/>
          <w:szCs w:val="2"/>
        </w:rPr>
        <w:t xml:space="preserve"/>
      </w:r>
    </w:p>
    <w:p>
      <w:pPr>
        <w:spacing w:after="100" w:line="276"/>
      </w:pPr>
      <w:r>
        <w:rPr>
          <w:rFonts w:ascii="Calibri" w:cs="Calibri" w:eastAsia="Calibri" w:hAnsi="Calibri"/>
          <w:b/>
          <w:bCs/>
          <w:color w:val="C1553B"/>
          <w:sz w:val="21"/>
          <w:szCs w:val="21"/>
        </w:rPr>
        <w:t xml:space="preserve">The central result this technique produced</w:t>
      </w:r>
    </w:p>
    <w:p>
      <w:pPr>
        <w:spacing w:after="140" w:line="276"/>
      </w:pPr>
      <w:r>
        <w:rPr>
          <w:rFonts w:ascii="Calibri" w:cs="Calibri" w:eastAsia="Calibri" w:hAnsi="Calibri"/>
          <w:color w:val="1A1F2B"/>
          <w:sz w:val="21"/>
          <w:szCs w:val="21"/>
        </w:rPr>
        <w:t xml:space="preserve">Surrogates separate the contribution of wiring from that of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00"/>
        <w:gridCol w:w="1900"/>
        <w:gridCol w:w="1400"/>
        <w:gridCol w:w="1500"/>
      </w:tblGrid>
      <w:tr>
        <w:trPr>
          <w:tblHeader/>
        </w:trPr>
        <w:tc>
          <w:tcPr>
            <w:tcW w:type="dxa" w:w="3060"/>
            <w:shd w:fill="14213D"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8"/>
                <w:szCs w:val="18"/>
              </w:rPr>
              <w:t xml:space="preserve">Operator</w:t>
            </w:r>
          </w:p>
        </w:tc>
        <w:tc>
          <w:tcPr>
            <w:tcW w:type="dxa" w:w="1500"/>
            <w:shd w:fill="14213D"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Henrici</w:t>
            </w:r>
          </w:p>
        </w:tc>
        <w:tc>
          <w:tcPr>
            <w:tcW w:type="dxa" w:w="1900"/>
            <w:shd w:fill="14213D"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Peak amplification</w:t>
            </w:r>
          </w:p>
        </w:tc>
        <w:tc>
          <w:tcPr>
            <w:tcW w:type="dxa" w:w="1400"/>
            <w:shd w:fill="14213D"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E→I / I→E</w:t>
            </w:r>
          </w:p>
        </w:tc>
        <w:tc>
          <w:tcPr>
            <w:tcW w:type="dxa" w:w="1500"/>
            <w:shd w:fill="14213D"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Forward weight</w:t>
            </w:r>
          </w:p>
        </w:tc>
      </w:tr>
      <w:tr>
        <w:tc>
          <w:tcPr>
            <w:tcW w:type="dxa" w:w="30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M — real</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99.3%</w:t>
            </w:r>
          </w:p>
        </w:tc>
        <w:tc>
          <w:tcPr>
            <w:tcW w:type="dxa" w:w="19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27.13×</w:t>
            </w:r>
          </w:p>
        </w:tc>
        <w:tc>
          <w:tcPr>
            <w:tcW w:type="dxa" w:w="14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912</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0.995</w:t>
            </w:r>
          </w:p>
        </w:tc>
      </w:tr>
      <w:tr>
        <w:tc>
          <w:tcPr>
            <w:tcW w:type="dxa" w:w="30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Binary — sign only</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24.4%</w:t>
            </w:r>
          </w:p>
        </w:tc>
        <w:tc>
          <w:tcPr>
            <w:tcW w:type="dxa" w:w="19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1.06×</w:t>
            </w:r>
          </w:p>
        </w:tc>
        <w:tc>
          <w:tcPr>
            <w:tcW w:type="dxa" w:w="14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1.44</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0.716</w:t>
            </w:r>
          </w:p>
        </w:tc>
      </w:tr>
      <w:tr>
        <w:tc>
          <w:tcPr>
            <w:tcW w:type="dxa" w:w="30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M / κ_j — no postsynaptic gain</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80.5%</w:t>
            </w:r>
          </w:p>
        </w:tc>
        <w:tc>
          <w:tcPr>
            <w:tcW w:type="dxa" w:w="19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7.74×</w:t>
            </w:r>
          </w:p>
        </w:tc>
        <w:tc>
          <w:tcPr>
            <w:tcW w:type="dxa" w:w="14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85.8</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0.982</w:t>
            </w:r>
          </w:p>
        </w:tc>
      </w:tr>
      <w:tr>
        <w:tc>
          <w:tcPr>
            <w:tcW w:type="dxa" w:w="30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M / q_i — no census weighting</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45.1%</w:t>
            </w:r>
          </w:p>
        </w:tc>
        <w:tc>
          <w:tcPr>
            <w:tcW w:type="dxa" w:w="19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1.45×</w:t>
            </w:r>
          </w:p>
        </w:tc>
        <w:tc>
          <w:tcPr>
            <w:tcW w:type="dxa" w:w="14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11.9</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0.936</w:t>
            </w:r>
          </w:p>
        </w:tc>
      </w:tr>
      <w:tr>
        <w:tc>
          <w:tcPr>
            <w:tcW w:type="dxa" w:w="30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M / (κ_j q_i) — neither</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35.9%</w:t>
            </w:r>
          </w:p>
        </w:tc>
        <w:tc>
          <w:tcPr>
            <w:tcW w:type="dxa" w:w="19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1.13×</w:t>
            </w:r>
          </w:p>
        </w:tc>
        <w:tc>
          <w:tcPr>
            <w:tcW w:type="dxa" w:w="14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0.96</w:t>
            </w:r>
          </w:p>
        </w:tc>
        <w:tc>
          <w:tcPr>
            <w:tcW w:type="dxa" w:w="1500"/>
            <w:shd w:fill="FFFFFF" w:color="auto" w:val="clear"/>
            <w:tcMar>
              <w:top w:type="dxa" w:w="70"/>
              <w:left w:type="dxa" w:w="110"/>
              <w:bottom w:type="dxa" w:w="70"/>
              <w:right w:type="dxa" w:w="110"/>
            </w:tcMar>
          </w:tcPr>
          <w:p>
            <w:pPr>
              <w:spacing w:after="0" w:line="250"/>
              <w:jc w:val="right"/>
            </w:pPr>
            <w:r>
              <w:rPr>
                <w:rFonts w:ascii="Calibri" w:cs="Calibri" w:eastAsia="Calibri" w:hAnsi="Calibri"/>
                <w:color w:val="1A1F2B"/>
                <w:sz w:val="18"/>
                <w:szCs w:val="18"/>
              </w:rPr>
              <w:t xml:space="preserve">0.916</w:t>
            </w:r>
          </w:p>
        </w:tc>
      </w:tr>
    </w:tbl>
    <w:p>
      <w:pPr>
        <w:spacing w:after="1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1F4F8" w:color="auto" w:val="clear"/>
            <w:tcMar>
              <w:top w:type="dxa" w:w="130"/>
              <w:left w:type="dxa" w:w="160"/>
              <w:bottom w:type="dxa" w:w="130"/>
              <w:right w:type="dxa" w:w="160"/>
            </w:tcMar>
          </w:tcPr>
          <w:p>
            <w:pPr>
              <w:spacing w:after="0" w:line="270"/>
            </w:pPr>
            <w:r>
              <w:rPr>
                <w:rFonts w:ascii="Calibri" w:cs="Calibri" w:eastAsia="Calibri" w:hAnsi="Calibri"/>
                <w:color w:val="1A1F2B"/>
                <w:sz w:val="20"/>
                <w:szCs w:val="20"/>
              </w:rPr>
              <w:t xml:space="preserve">Binary topology amplifies 1.06×; the real operator amplifies 27×, and the forward-weight fraction falls from 0.995 to 0.716 when magnitudes are discarded. Stripping both diagonal scalings leaves E→I / I→E at 0.96 — a balanced substrate. The feedforward geometry is therefore not in the wiring. It is produced by the cell-type census (q_i, median 5,615 excitatory against 333 inhibitory) and by postsynaptic gain (κ_j, median 0.0935 for interneuron targets against 0.0345 for principal targets, roughly ninefold at the tails). Hippocampome’s parameter tables, not only its connectivity, are necessary to predict circuit dynamics.</w:t>
            </w:r>
          </w:p>
        </w:tc>
      </w:tr>
    </w:tbl>
    <w:p>
      <w:pPr>
        <w:spacing w:after="120"/>
      </w:pPr>
      <w:r>
        <w:rPr>
          <w:sz w:val="2"/>
          <w:szCs w:val="2"/>
        </w:rPr>
        <w:t xml:space="preserve"/>
      </w:r>
    </w:p>
    <w:p>
      <w:pPr>
        <w:spacing w:after="140" w:line="276"/>
      </w:pPr>
      <w:r>
        <w:rPr>
          <w:rFonts w:ascii="Calibri" w:cs="Calibri" w:eastAsia="Calibri" w:hAnsi="Calibri"/>
          <w:i/>
          <w:iCs/>
          <w:color w:val="5A6472"/>
          <w:sz w:val="18"/>
          <w:szCs w:val="18"/>
        </w:rPr>
        <w:t xml:space="preserve">Sources: EE_backbone/ee_backbone_ordering.py; tarjan_reorder/01–02; docs/WEIGHTS_VS_TOPOLOGY.md. Method reference: Borst &amp; Leibold (2023) J Neurosci 43(20):3599–3610.</w:t>
      </w:r>
    </w:p>
    <w:p>
      <w:pPr>
        <w:pBdr>
          <w:bottom w:val="single" w:color="D7DEE7" w:sz="6"/>
        </w:pBdr>
        <w:spacing w:after="180" w:before="60"/>
      </w:pPr>
      <w:r>
        <w:rPr>
          <w:sz w:val="2"/>
          <w:szCs w:val="2"/>
        </w:rPr>
        <w:t xml:space="preserve"/>
      </w:r>
    </w:p>
    <w:p>
      <w:pPr>
        <w:pStyle w:val="Heading1"/>
        <w:spacing w:after="150" w:before="320"/>
      </w:pPr>
      <w:r>
        <w:rPr>
          <w:rFonts w:ascii="Cambria" w:cs="Cambria" w:eastAsia="Cambria" w:hAnsi="Cambria"/>
          <w:b/>
          <w:bCs/>
          <w:color w:val="14213D"/>
          <w:sz w:val="28"/>
          <w:szCs w:val="28"/>
        </w:rPr>
        <w:t xml:space="preserve">5.  Motif analysis</w:t>
      </w:r>
    </w:p>
    <w:p>
      <w:pPr>
        <w:spacing w:after="140" w:line="276"/>
      </w:pPr>
      <w:r>
        <w:rPr>
          <w:rFonts w:ascii="Calibri" w:cs="Calibri" w:eastAsia="Calibri" w:hAnsi="Calibri"/>
          <w:b/>
          <w:bCs/>
          <w:color w:val="1F7A8C"/>
          <w:sz w:val="21"/>
          <w:szCs w:val="21"/>
        </w:rPr>
        <w:t xml:space="preserve">What it is.  </w:t>
      </w:r>
      <w:r>
        <w:rPr>
          <w:rFonts w:ascii="Calibri" w:cs="Calibri" w:eastAsia="Calibri" w:hAnsi="Calibri"/>
          <w:color w:val="1A1F2B"/>
          <w:sz w:val="21"/>
          <w:szCs w:val="21"/>
        </w:rPr>
        <w:t xml:space="preserve">Enumeration and significance testing of three-node connectivity patterns — the thirteen Davis–Holland–Leinhardt directed triad classes — with the within-type diagonal unrolled into twin nodes, scored against two null ensembles, and broken down by region and by excitatory/inhibitory composition.</w:t>
      </w:r>
    </w:p>
    <w:p>
      <w:pPr>
        <w:spacing w:after="140" w:line="276"/>
      </w:pPr>
      <w:r>
        <w:rPr>
          <w:rFonts w:ascii="Calibri" w:cs="Calibri" w:eastAsia="Calibri" w:hAnsi="Calibri"/>
          <w:b/>
          <w:bCs/>
          <w:color w:val="1F7A8C"/>
          <w:sz w:val="21"/>
          <w:szCs w:val="21"/>
        </w:rPr>
        <w:t xml:space="preserve">Why it is required.  </w:t>
      </w:r>
      <w:r>
        <w:rPr>
          <w:rFonts w:ascii="Calibri" w:cs="Calibri" w:eastAsia="Calibri" w:hAnsi="Calibri"/>
          <w:color w:val="1A1F2B"/>
          <w:sz w:val="21"/>
          <w:szCs w:val="21"/>
        </w:rPr>
        <w:t xml:space="preserve">Motifs occupy the scale at which a global dynamical property becomes attributable to a nameable circuit. Operator-level results are properties of the whole matrix; edge-level results are properties of single connections. Neither identifies the responsible circuit. Two points make the analysis non-trivial. Raw triad counts are driven by degree and reciprocity rather than three-node structure, so a null ensemble is mandatory. And the diagonal is within-type coupling rather than autapses, while a triad requires three distinct nodes — so unless it is unrolled, all within-type structure vanishes from the census silently.</w:t>
      </w:r>
    </w:p>
    <w:p>
      <w:pPr>
        <w:spacing w:after="60"/>
      </w:pPr>
      <w:r>
        <w:rPr>
          <w:sz w:val="2"/>
          <w:szCs w:val="2"/>
        </w:rPr>
        <w:t xml:space="preserve"/>
      </w:r>
    </w:p>
    <w:p>
      <w:pPr>
        <w:spacing w:after="100" w:line="276"/>
      </w:pPr>
      <w:r>
        <w:rPr>
          <w:rFonts w:ascii="Calibri" w:cs="Calibri" w:eastAsia="Calibri" w:hAnsi="Calibri"/>
          <w:b/>
          <w:bCs/>
          <w:color w:val="14213D"/>
          <w:sz w:val="21"/>
          <w:szCs w:val="21"/>
        </w:rPr>
        <w:t xml:space="preserve">What we gain</w:t>
      </w:r>
    </w:p>
    <w:p>
      <w:pPr>
        <w:pStyle w:val="ListParagraph"/>
        <w:numPr>
          <w:ilvl w:val="0"/>
          <w:numId w:val="2"/>
        </w:numPr>
        <w:spacing w:after="90" w:line="270"/>
      </w:pPr>
      <w:r>
        <w:rPr>
          <w:rFonts w:ascii="Calibri" w:cs="Calibri" w:eastAsia="Calibri" w:hAnsi="Calibri"/>
          <w:color w:val="1A1F2B"/>
          <w:sz w:val="20"/>
          <w:szCs w:val="20"/>
        </w:rPr>
        <w:t xml:space="preserve">A vocabulary anchored in the lab’s prior work. The thirteen classes map letter-for-letter onto the Rees et al. (2016) superpatterns A–M, and that paper’s data-independent combinatorics reproduce exactly — 86 connected and 18 disconnected E/I patterns. Results are therefore directly commensurable with the earlier Hippocampome analysis.</w:t>
      </w:r>
    </w:p>
    <w:p>
      <w:pPr>
        <w:pStyle w:val="ListParagraph"/>
        <w:numPr>
          <w:ilvl w:val="0"/>
          <w:numId w:val="2"/>
        </w:numPr>
        <w:spacing w:after="90" w:line="270"/>
      </w:pPr>
      <w:r>
        <w:rPr>
          <w:rFonts w:ascii="Calibri" w:cs="Calibri" w:eastAsia="Calibri" w:hAnsi="Calibri"/>
          <w:color w:val="1A1F2B"/>
          <w:sz w:val="20"/>
          <w:szCs w:val="20"/>
        </w:rPr>
        <w:t xml:space="preserve">Structure that survives a conservative null. Against a degree- and dyad-preserving rewiring: 300 enriched 7.7-fold (z = +62), 120D 2.9-fold; 201 suppressed to 0.11-fold (z = −62), 111D to 0.27-fold. The circuit is transitive and cycle-averse, and reciprocity clusters into closed triangles rather than open chains — raw counts report this the opposite way.</w:t>
      </w:r>
    </w:p>
    <w:p>
      <w:pPr>
        <w:pStyle w:val="ListParagraph"/>
        <w:numPr>
          <w:ilvl w:val="0"/>
          <w:numId w:val="2"/>
        </w:numPr>
        <w:spacing w:after="90" w:line="270"/>
      </w:pPr>
      <w:r>
        <w:rPr>
          <w:rFonts w:ascii="Calibri" w:cs="Calibri" w:eastAsia="Calibri" w:hAnsi="Calibri"/>
          <w:color w:val="1A1F2B"/>
          <w:sz w:val="20"/>
          <w:szCs w:val="20"/>
        </w:rPr>
        <w:t xml:space="preserve">Spatial organisation of the motif vocabulary. Only 24.2% of triads sit entirely within one region. The dense reciprocal classes are the local ones — class 300 is 66% single-region — while the sparse open two-edge classes span two or three regions more than 94% of the time. Long-range structure in this circuit is built from two-edge motifs, not from triangles.</w:t>
      </w:r>
    </w:p>
    <w:p>
      <w:pPr>
        <w:pStyle w:val="ListParagraph"/>
        <w:numPr>
          <w:ilvl w:val="0"/>
          <w:numId w:val="2"/>
        </w:numPr>
        <w:spacing w:after="90" w:line="270"/>
      </w:pPr>
      <w:r>
        <w:rPr>
          <w:rFonts w:ascii="Calibri" w:cs="Calibri" w:eastAsia="Calibri" w:hAnsi="Calibri"/>
          <w:color w:val="1A1F2B"/>
          <w:sz w:val="20"/>
          <w:szCs w:val="20"/>
        </w:rPr>
        <w:t xml:space="preserve">Placement of excitation, as distinct from abundance. Holding the graph fixed and permuting E/I labels over cell types shows all-excitatory triads over-represented in the reciprocal classes (201 z = +13, 300 z = +9, 210 z = +7, 111D z = +6). Composition alone restates the 32/53 inventory; placement establishes that the recurrent excitatory core is structural.</w:t>
      </w:r>
    </w:p>
    <w:p>
      <w:pPr>
        <w:pStyle w:val="ListParagraph"/>
        <w:numPr>
          <w:ilvl w:val="0"/>
          <w:numId w:val="2"/>
        </w:numPr>
        <w:spacing w:after="90" w:line="270"/>
      </w:pPr>
      <w:r>
        <w:rPr>
          <w:rFonts w:ascii="Calibri" w:cs="Calibri" w:eastAsia="Calibri" w:hAnsi="Calibri"/>
          <w:color w:val="1A1F2B"/>
          <w:sz w:val="20"/>
          <w:szCs w:val="20"/>
        </w:rPr>
        <w:t xml:space="preserve">The strongest cell-type-level result in the project. Disinhibitory motifs are heavily enriched — E→I→I→E at z ≈ 52, I→I→E at z ≈ 28, stable with and without self-connections — with stable top sources: CA1 Perforant Path Associated, MEC LIII Superficial Multipolar Interneuron, DG AIPRIM. With the Schur-complement result that inhibitory feedback returns effective excitatory dynamics to target from either starting point, this identifies disinhibitory relays as the mechanism setting the excitatory operating point.</w:t>
      </w:r>
    </w:p>
    <w:p>
      <w:pPr>
        <w:pStyle w:val="ListParagraph"/>
        <w:numPr>
          <w:ilvl w:val="0"/>
          <w:numId w:val="2"/>
        </w:numPr>
        <w:spacing w:after="90" w:line="270"/>
      </w:pPr>
      <w:r>
        <w:rPr>
          <w:rFonts w:ascii="Calibri" w:cs="Calibri" w:eastAsia="Calibri" w:hAnsi="Calibri"/>
          <w:color w:val="1A1F2B"/>
          <w:sz w:val="20"/>
          <w:szCs w:val="20"/>
        </w:rPr>
        <w:t xml:space="preserve">Completeness of the coloured vocabulary. 85 of the 86 Dale-consistent coloured patterns occur in this circuit; the single absentee is the purely inhibitory three-cycle I₁ → I₂ → I₃ → I₁.</w:t>
      </w:r>
    </w:p>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1F4F8" w:color="auto" w:val="clear"/>
            <w:tcMar>
              <w:top w:type="dxa" w:w="130"/>
              <w:left w:type="dxa" w:w="160"/>
              <w:bottom w:type="dxa" w:w="130"/>
              <w:right w:type="dxa" w:w="160"/>
            </w:tcMar>
          </w:tcPr>
          <w:p>
            <w:pPr>
              <w:spacing w:after="0" w:line="270"/>
            </w:pPr>
            <w:r>
              <w:rPr>
                <w:rFonts w:ascii="Calibri" w:cs="Calibri" w:eastAsia="Calibri" w:hAnsi="Calibri"/>
                <w:color w:val="1A1F2B"/>
                <w:sz w:val="20"/>
                <w:szCs w:val="20"/>
              </w:rPr>
              <w:t xml:space="preserve">networkx.directed_edge_swap preserves degrees but destroys about 60% of the 422 mutual dyads. Used as a null it reports very large and entirely spurious enrichment for every reciprocal class. Counting also deduplicates the unrolled census to distinct cell-type triads (119,342 instance triads reduce to 20,513); the cross-type portion equals the 85-node type-graph census exactly, class by class, which validates the unrolling.</w:t>
            </w:r>
          </w:p>
        </w:tc>
      </w:tr>
    </w:tbl>
    <w:p>
      <w:pPr>
        <w:spacing w:after="120"/>
      </w:pPr>
      <w:r>
        <w:rPr>
          <w:sz w:val="2"/>
          <w:szCs w:val="2"/>
        </w:rPr>
        <w:t xml:space="preserve"/>
      </w:r>
    </w:p>
    <w:p>
      <w:pPr>
        <w:spacing w:after="140" w:line="276"/>
      </w:pPr>
      <w:r>
        <w:rPr>
          <w:rFonts w:ascii="Calibri" w:cs="Calibri" w:eastAsia="Calibri" w:hAnsi="Calibri"/>
          <w:i/>
          <w:iCs/>
          <w:color w:val="5A6472"/>
          <w:sz w:val="18"/>
          <w:szCs w:val="18"/>
        </w:rPr>
        <w:t xml:space="preserve">Sources: graph_subnetworks/motif_characterization.ipynb and motif_protocol_briefing.md; inhib_modulation/02–03; schur_decomp/07. Method references: Rees et al. (2016) eNeuro 3(6); Davis &amp; Leinhardt (1972); Holland &amp; Leinhardt (1970).</w:t>
      </w:r>
    </w:p>
    <w:p>
      <w:pPr>
        <w:pBdr>
          <w:bottom w:val="single" w:color="D7DEE7" w:sz="6"/>
        </w:pBdr>
        <w:spacing w:after="180" w:before="60"/>
      </w:pPr>
      <w:r>
        <w:rPr>
          <w:sz w:val="2"/>
          <w:szCs w:val="2"/>
        </w:rPr>
        <w:t xml:space="preserve"/>
      </w:r>
    </w:p>
    <w:p>
      <w:pPr>
        <w:pStyle w:val="Heading1"/>
        <w:spacing w:after="150" w:before="320"/>
      </w:pPr>
      <w:r>
        <w:rPr>
          <w:rFonts w:ascii="Cambria" w:cs="Cambria" w:eastAsia="Cambria" w:hAnsi="Cambria"/>
          <w:b/>
          <w:bCs/>
          <w:color w:val="14213D"/>
          <w:sz w:val="28"/>
          <w:szCs w:val="28"/>
        </w:rPr>
        <w:t xml:space="preserve">6.  Machine learning applied to the connectome</w:t>
      </w:r>
    </w:p>
    <w:p>
      <w:pPr>
        <w:spacing w:after="140" w:line="276"/>
      </w:pPr>
      <w:r>
        <w:rPr>
          <w:rFonts w:ascii="Calibri" w:cs="Calibri" w:eastAsia="Calibri" w:hAnsi="Calibri"/>
          <w:b/>
          <w:bCs/>
          <w:color w:val="1F7A8C"/>
          <w:sz w:val="21"/>
          <w:szCs w:val="21"/>
        </w:rPr>
        <w:t xml:space="preserve">What it is.  </w:t>
      </w:r>
      <w:r>
        <w:rPr>
          <w:rFonts w:ascii="Calibri" w:cs="Calibri" w:eastAsia="Calibri" w:hAnsi="Calibri"/>
          <w:color w:val="1A1F2B"/>
          <w:sz w:val="21"/>
          <w:szCs w:val="21"/>
        </w:rPr>
        <w:t xml:space="preserve">A Graph Substructure Network (Bouritsas et al., 2022), in which counts of three-node subgraph orbits are appended to node and edge features so that the network exceeds the expressive ceiling of standard message passing. The prediction target is a dynamical observable defined per cell type, and the comparison set includes a first-order multilayer perceptron, the same perceptron with orbit counts appended, and a plain message-passing network.</w:t>
      </w:r>
    </w:p>
    <w:p>
      <w:pPr>
        <w:spacing w:after="140" w:line="276"/>
      </w:pPr>
      <w:r>
        <w:rPr>
          <w:rFonts w:ascii="Calibri" w:cs="Calibri" w:eastAsia="Calibri" w:hAnsi="Calibri"/>
          <w:b/>
          <w:bCs/>
          <w:color w:val="1F7A8C"/>
          <w:sz w:val="21"/>
          <w:szCs w:val="21"/>
        </w:rPr>
        <w:t xml:space="preserve">Why it is required, and what it is for.  </w:t>
      </w:r>
      <w:r>
        <w:rPr>
          <w:rFonts w:ascii="Calibri" w:cs="Calibri" w:eastAsia="Calibri" w:hAnsi="Calibri"/>
          <w:color w:val="1A1F2B"/>
          <w:sz w:val="21"/>
          <w:szCs w:val="21"/>
        </w:rPr>
        <w:t xml:space="preserve">The purpose is not predictive accuracy. It is to establish that the three-node motif is a legitimate analytical primitive — that local subgraph structure carries information about global circuit dynamics. The design follows. A plain message-passing network is limited to first-order Weisfeiler–Lehman expressivity and provably cannot distinguish certain structures; orbit counts lift that ceiling. The target is deliberately global — the neural-mass steady state under unit dentate granule drive — so a shallow network cannot reach it by local aggregation and must use the structural features. Splits are drawn over cell types, never node instances: twins are exchangeable by construction, so an instance-level split would let the model score by memorising a type’s partner.</w:t>
      </w:r>
    </w:p>
    <w:p>
      <w:pPr>
        <w:spacing w:after="60"/>
      </w:pPr>
      <w:r>
        <w:rPr>
          <w:sz w:val="2"/>
          <w:szCs w:val="2"/>
        </w:rPr>
        <w:t xml:space="preserve"/>
      </w:r>
    </w:p>
    <w:p>
      <w:pPr>
        <w:spacing w:after="100" w:line="276"/>
      </w:pPr>
      <w:r>
        <w:rPr>
          <w:rFonts w:ascii="Calibri" w:cs="Calibri" w:eastAsia="Calibri" w:hAnsi="Calibri"/>
          <w:b/>
          <w:bCs/>
          <w:color w:val="14213D"/>
          <w:sz w:val="21"/>
          <w:szCs w:val="21"/>
        </w:rPr>
        <w:t xml:space="preserve">What we 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900"/>
        <w:gridCol w:w="1900"/>
      </w:tblGrid>
      <w:tr>
        <w:trPr>
          <w:tblHeader/>
        </w:trPr>
        <w:tc>
          <w:tcPr>
            <w:tcW w:type="dxa" w:w="4560"/>
            <w:shd w:fill="14213D"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8"/>
                <w:szCs w:val="18"/>
              </w:rPr>
              <w:t xml:space="preserve">Model</w:t>
            </w:r>
          </w:p>
        </w:tc>
        <w:tc>
          <w:tcPr>
            <w:tcW w:type="dxa" w:w="2900"/>
            <w:shd w:fill="14213D" w:color="auto" w:val="clear"/>
            <w:tcMar>
              <w:top w:type="dxa" w:w="70"/>
              <w:left w:type="dxa" w:w="110"/>
              <w:bottom w:type="dxa" w:w="70"/>
              <w:right w:type="dxa" w:w="110"/>
            </w:tcMar>
          </w:tcPr>
          <w:p>
            <w:pPr>
              <w:spacing w:after="0" w:line="250"/>
              <w:jc w:val="center"/>
            </w:pPr>
            <w:r>
              <w:rPr>
                <w:rFonts w:ascii="Calibri" w:cs="Calibri" w:eastAsia="Calibri" w:hAnsi="Calibri"/>
                <w:b/>
                <w:bCs/>
                <w:color w:val="FFFFFF"/>
                <w:sz w:val="18"/>
                <w:szCs w:val="18"/>
              </w:rPr>
              <w:t xml:space="preserve">Test R² (mean ± sd, 10 splits)</w:t>
            </w:r>
          </w:p>
        </w:tc>
        <w:tc>
          <w:tcPr>
            <w:tcW w:type="dxa" w:w="1900"/>
            <w:shd w:fill="14213D" w:color="auto" w:val="clear"/>
            <w:tcMar>
              <w:top w:type="dxa" w:w="70"/>
              <w:left w:type="dxa" w:w="110"/>
              <w:bottom w:type="dxa" w:w="70"/>
              <w:right w:type="dxa" w:w="110"/>
            </w:tcMar>
          </w:tcPr>
          <w:p>
            <w:pPr>
              <w:spacing w:after="0" w:line="250"/>
              <w:jc w:val="center"/>
            </w:pPr>
            <w:r>
              <w:rPr>
                <w:rFonts w:ascii="Calibri" w:cs="Calibri" w:eastAsia="Calibri" w:hAnsi="Calibri"/>
                <w:b/>
                <w:bCs/>
                <w:color w:val="FFFFFF"/>
                <w:sz w:val="18"/>
                <w:szCs w:val="18"/>
              </w:rPr>
              <w:t xml:space="preserve">Spearman</w:t>
            </w:r>
          </w:p>
        </w:tc>
      </w:tr>
      <w:tr>
        <w:tc>
          <w:tcPr>
            <w:tcW w:type="dxa" w:w="45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Multilayer perceptron, first-order features only</w:t>
            </w:r>
          </w:p>
        </w:tc>
        <w:tc>
          <w:tcPr>
            <w:tcW w:type="dxa" w:w="2900"/>
            <w:shd w:fill="FFFFFF" w:color="auto" w:val="clear"/>
            <w:tcMar>
              <w:top w:type="dxa" w:w="70"/>
              <w:left w:type="dxa" w:w="110"/>
              <w:bottom w:type="dxa" w:w="70"/>
              <w:right w:type="dxa" w:w="110"/>
            </w:tcMar>
          </w:tcPr>
          <w:p>
            <w:pPr>
              <w:spacing w:after="0" w:line="250"/>
              <w:jc w:val="center"/>
            </w:pPr>
            <w:r>
              <w:rPr>
                <w:rFonts w:ascii="Calibri" w:cs="Calibri" w:eastAsia="Calibri" w:hAnsi="Calibri"/>
                <w:color w:val="1A1F2B"/>
                <w:sz w:val="18"/>
                <w:szCs w:val="18"/>
              </w:rPr>
              <w:t xml:space="preserve">0.21 ± 0.53</w:t>
            </w:r>
          </w:p>
        </w:tc>
        <w:tc>
          <w:tcPr>
            <w:tcW w:type="dxa" w:w="1900"/>
            <w:shd w:fill="FFFFFF" w:color="auto" w:val="clear"/>
            <w:tcMar>
              <w:top w:type="dxa" w:w="70"/>
              <w:left w:type="dxa" w:w="110"/>
              <w:bottom w:type="dxa" w:w="70"/>
              <w:right w:type="dxa" w:w="110"/>
            </w:tcMar>
          </w:tcPr>
          <w:p>
            <w:pPr>
              <w:spacing w:after="0" w:line="250"/>
              <w:jc w:val="center"/>
            </w:pPr>
            <w:r>
              <w:rPr>
                <w:rFonts w:ascii="Calibri" w:cs="Calibri" w:eastAsia="Calibri" w:hAnsi="Calibri"/>
                <w:color w:val="1A1F2B"/>
                <w:sz w:val="18"/>
                <w:szCs w:val="18"/>
              </w:rPr>
              <w:t xml:space="preserve">0.71</w:t>
            </w:r>
          </w:p>
        </w:tc>
      </w:tr>
      <w:tr>
        <w:tc>
          <w:tcPr>
            <w:tcW w:type="dxa" w:w="45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Multilayer perceptron with orbit counts appended</w:t>
            </w:r>
          </w:p>
        </w:tc>
        <w:tc>
          <w:tcPr>
            <w:tcW w:type="dxa" w:w="2900"/>
            <w:shd w:fill="FFFFFF" w:color="auto" w:val="clear"/>
            <w:tcMar>
              <w:top w:type="dxa" w:w="70"/>
              <w:left w:type="dxa" w:w="110"/>
              <w:bottom w:type="dxa" w:w="70"/>
              <w:right w:type="dxa" w:w="110"/>
            </w:tcMar>
          </w:tcPr>
          <w:p>
            <w:pPr>
              <w:spacing w:after="0" w:line="250"/>
              <w:jc w:val="center"/>
            </w:pPr>
            <w:r>
              <w:rPr>
                <w:rFonts w:ascii="Calibri" w:cs="Calibri" w:eastAsia="Calibri" w:hAnsi="Calibri"/>
                <w:color w:val="1A1F2B"/>
                <w:sz w:val="18"/>
                <w:szCs w:val="18"/>
              </w:rPr>
              <w:t xml:space="preserve">0.44 ± 0.42</w:t>
            </w:r>
          </w:p>
        </w:tc>
        <w:tc>
          <w:tcPr>
            <w:tcW w:type="dxa" w:w="1900"/>
            <w:shd w:fill="FFFFFF" w:color="auto" w:val="clear"/>
            <w:tcMar>
              <w:top w:type="dxa" w:w="70"/>
              <w:left w:type="dxa" w:w="110"/>
              <w:bottom w:type="dxa" w:w="70"/>
              <w:right w:type="dxa" w:w="110"/>
            </w:tcMar>
          </w:tcPr>
          <w:p>
            <w:pPr>
              <w:spacing w:after="0" w:line="250"/>
              <w:jc w:val="center"/>
            </w:pPr>
            <w:r>
              <w:rPr>
                <w:rFonts w:ascii="Calibri" w:cs="Calibri" w:eastAsia="Calibri" w:hAnsi="Calibri"/>
                <w:color w:val="1A1F2B"/>
                <w:sz w:val="18"/>
                <w:szCs w:val="18"/>
              </w:rPr>
              <w:t xml:space="preserve">0.74</w:t>
            </w:r>
          </w:p>
        </w:tc>
      </w:tr>
      <w:tr>
        <w:tc>
          <w:tcPr>
            <w:tcW w:type="dxa" w:w="45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Message-passing network</w:t>
            </w:r>
          </w:p>
        </w:tc>
        <w:tc>
          <w:tcPr>
            <w:tcW w:type="dxa" w:w="2900"/>
            <w:shd w:fill="FFFFFF" w:color="auto" w:val="clear"/>
            <w:tcMar>
              <w:top w:type="dxa" w:w="70"/>
              <w:left w:type="dxa" w:w="110"/>
              <w:bottom w:type="dxa" w:w="70"/>
              <w:right w:type="dxa" w:w="110"/>
            </w:tcMar>
          </w:tcPr>
          <w:p>
            <w:pPr>
              <w:spacing w:after="0" w:line="250"/>
              <w:jc w:val="center"/>
            </w:pPr>
            <w:r>
              <w:rPr>
                <w:rFonts w:ascii="Calibri" w:cs="Calibri" w:eastAsia="Calibri" w:hAnsi="Calibri"/>
                <w:color w:val="1A1F2B"/>
                <w:sz w:val="18"/>
                <w:szCs w:val="18"/>
              </w:rPr>
              <w:t xml:space="preserve">0.22 ± 0.94</w:t>
            </w:r>
          </w:p>
        </w:tc>
        <w:tc>
          <w:tcPr>
            <w:tcW w:type="dxa" w:w="1900"/>
            <w:shd w:fill="FFFFFF" w:color="auto" w:val="clear"/>
            <w:tcMar>
              <w:top w:type="dxa" w:w="70"/>
              <w:left w:type="dxa" w:w="110"/>
              <w:bottom w:type="dxa" w:w="70"/>
              <w:right w:type="dxa" w:w="110"/>
            </w:tcMar>
          </w:tcPr>
          <w:p>
            <w:pPr>
              <w:spacing w:after="0" w:line="250"/>
              <w:jc w:val="center"/>
            </w:pPr>
            <w:r>
              <w:rPr>
                <w:rFonts w:ascii="Calibri" w:cs="Calibri" w:eastAsia="Calibri" w:hAnsi="Calibri"/>
                <w:color w:val="1A1F2B"/>
                <w:sz w:val="18"/>
                <w:szCs w:val="18"/>
              </w:rPr>
              <w:t xml:space="preserve">0.73</w:t>
            </w:r>
          </w:p>
        </w:tc>
      </w:tr>
      <w:tr>
        <w:tc>
          <w:tcPr>
            <w:tcW w:type="dxa" w:w="45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GSN-v (vertex orbits)</w:t>
            </w:r>
          </w:p>
        </w:tc>
        <w:tc>
          <w:tcPr>
            <w:tcW w:type="dxa" w:w="2900"/>
            <w:shd w:fill="FFFFFF" w:color="auto" w:val="clear"/>
            <w:tcMar>
              <w:top w:type="dxa" w:w="70"/>
              <w:left w:type="dxa" w:w="110"/>
              <w:bottom w:type="dxa" w:w="70"/>
              <w:right w:type="dxa" w:w="110"/>
            </w:tcMar>
          </w:tcPr>
          <w:p>
            <w:pPr>
              <w:spacing w:after="0" w:line="250"/>
              <w:jc w:val="center"/>
            </w:pPr>
            <w:r>
              <w:rPr>
                <w:rFonts w:ascii="Calibri" w:cs="Calibri" w:eastAsia="Calibri" w:hAnsi="Calibri"/>
                <w:color w:val="1A1F2B"/>
                <w:sz w:val="18"/>
                <w:szCs w:val="18"/>
              </w:rPr>
              <w:t xml:space="preserve">0.44 ± 0.29</w:t>
            </w:r>
          </w:p>
        </w:tc>
        <w:tc>
          <w:tcPr>
            <w:tcW w:type="dxa" w:w="1900"/>
            <w:shd w:fill="FFFFFF" w:color="auto" w:val="clear"/>
            <w:tcMar>
              <w:top w:type="dxa" w:w="70"/>
              <w:left w:type="dxa" w:w="110"/>
              <w:bottom w:type="dxa" w:w="70"/>
              <w:right w:type="dxa" w:w="110"/>
            </w:tcMar>
          </w:tcPr>
          <w:p>
            <w:pPr>
              <w:spacing w:after="0" w:line="250"/>
              <w:jc w:val="center"/>
            </w:pPr>
            <w:r>
              <w:rPr>
                <w:rFonts w:ascii="Calibri" w:cs="Calibri" w:eastAsia="Calibri" w:hAnsi="Calibri"/>
                <w:color w:val="1A1F2B"/>
                <w:sz w:val="18"/>
                <w:szCs w:val="18"/>
              </w:rPr>
              <w:t xml:space="preserve">0.72</w:t>
            </w:r>
          </w:p>
        </w:tc>
      </w:tr>
      <w:tr>
        <w:tc>
          <w:tcPr>
            <w:tcW w:type="dxa" w:w="4560"/>
            <w:shd w:fill="FFFFFF" w:color="auto" w:val="clear"/>
            <w:tcMar>
              <w:top w:type="dxa" w:w="70"/>
              <w:left w:type="dxa" w:w="110"/>
              <w:bottom w:type="dxa" w:w="70"/>
              <w:right w:type="dxa" w:w="110"/>
            </w:tcMar>
          </w:tcPr>
          <w:p>
            <w:pPr>
              <w:spacing w:after="0" w:line="250"/>
              <w:jc w:val="left"/>
            </w:pPr>
            <w:r>
              <w:rPr>
                <w:rFonts w:ascii="Calibri" w:cs="Calibri" w:eastAsia="Calibri" w:hAnsi="Calibri"/>
                <w:color w:val="1A1F2B"/>
                <w:sz w:val="18"/>
                <w:szCs w:val="18"/>
              </w:rPr>
              <w:t xml:space="preserve">GSN-e (edge orbits)</w:t>
            </w:r>
          </w:p>
        </w:tc>
        <w:tc>
          <w:tcPr>
            <w:tcW w:type="dxa" w:w="2900"/>
            <w:shd w:fill="FFFFFF" w:color="auto" w:val="clear"/>
            <w:tcMar>
              <w:top w:type="dxa" w:w="70"/>
              <w:left w:type="dxa" w:w="110"/>
              <w:bottom w:type="dxa" w:w="70"/>
              <w:right w:type="dxa" w:w="110"/>
            </w:tcMar>
          </w:tcPr>
          <w:p>
            <w:pPr>
              <w:spacing w:after="0" w:line="250"/>
              <w:jc w:val="center"/>
            </w:pPr>
            <w:r>
              <w:rPr>
                <w:rFonts w:ascii="Calibri" w:cs="Calibri" w:eastAsia="Calibri" w:hAnsi="Calibri"/>
                <w:color w:val="1A1F2B"/>
                <w:sz w:val="18"/>
                <w:szCs w:val="18"/>
              </w:rPr>
              <w:t xml:space="preserve">0.57 ± 0.23</w:t>
            </w:r>
          </w:p>
        </w:tc>
        <w:tc>
          <w:tcPr>
            <w:tcW w:type="dxa" w:w="1900"/>
            <w:shd w:fill="FFFFFF" w:color="auto" w:val="clear"/>
            <w:tcMar>
              <w:top w:type="dxa" w:w="70"/>
              <w:left w:type="dxa" w:w="110"/>
              <w:bottom w:type="dxa" w:w="70"/>
              <w:right w:type="dxa" w:w="110"/>
            </w:tcMar>
          </w:tcPr>
          <w:p>
            <w:pPr>
              <w:spacing w:after="0" w:line="250"/>
              <w:jc w:val="center"/>
            </w:pPr>
            <w:r>
              <w:rPr>
                <w:rFonts w:ascii="Calibri" w:cs="Calibri" w:eastAsia="Calibri" w:hAnsi="Calibri"/>
                <w:color w:val="1A1F2B"/>
                <w:sz w:val="18"/>
                <w:szCs w:val="18"/>
              </w:rPr>
              <w:t xml:space="preserve">0.73</w:t>
            </w:r>
          </w:p>
        </w:tc>
      </w:tr>
    </w:tbl>
    <w:p>
      <w:pPr>
        <w:spacing w:after="140"/>
      </w:pPr>
      <w:r>
        <w:rPr>
          <w:sz w:val="2"/>
          <w:szCs w:val="2"/>
        </w:rPr>
        <w:t xml:space="preserve"/>
      </w:r>
    </w:p>
    <w:p>
      <w:pPr>
        <w:pStyle w:val="ListParagraph"/>
        <w:numPr>
          <w:ilvl w:val="0"/>
          <w:numId w:val="2"/>
        </w:numPr>
        <w:spacing w:after="90" w:line="270"/>
      </w:pPr>
      <w:r>
        <w:rPr>
          <w:rFonts w:ascii="Calibri" w:cs="Calibri" w:eastAsia="Calibri" w:hAnsi="Calibri"/>
          <w:color w:val="1A1F2B"/>
          <w:sz w:val="20"/>
          <w:szCs w:val="20"/>
        </w:rPr>
        <w:t xml:space="preserve">Three-node structure is informative. Orbit counts improve prediction with and without message passing, and edge orbits outperform vertex orbits as the expressivity theorem predicts. This is the result the technique was adopted to obtain.</w:t>
      </w:r>
    </w:p>
    <w:p>
      <w:pPr>
        <w:pStyle w:val="ListParagraph"/>
        <w:numPr>
          <w:ilvl w:val="0"/>
          <w:numId w:val="2"/>
        </w:numPr>
        <w:spacing w:after="90" w:line="270"/>
      </w:pPr>
      <w:r>
        <w:rPr>
          <w:rFonts w:ascii="Calibri" w:cs="Calibri" w:eastAsia="Calibri" w:hAnsi="Calibri"/>
          <w:color w:val="1A1F2B"/>
          <w:sz w:val="20"/>
          <w:szCs w:val="20"/>
        </w:rPr>
        <w:t xml:space="preserve">The gain is in calibration, not ranking. Spearman is flat at roughly 0.72 across all five models while R² more than doubles. R² alone overstates the result; Spearman alone erases it. Both are reported, and the disagreement is the finding.</w:t>
      </w:r>
    </w:p>
    <w:p>
      <w:pPr>
        <w:pStyle w:val="ListParagraph"/>
        <w:numPr>
          <w:ilvl w:val="0"/>
          <w:numId w:val="2"/>
        </w:numPr>
        <w:spacing w:after="90" w:line="270"/>
      </w:pPr>
      <w:r>
        <w:rPr>
          <w:rFonts w:ascii="Calibri" w:cs="Calibri" w:eastAsia="Calibri" w:hAnsi="Calibri"/>
          <w:color w:val="1A1F2B"/>
          <w:sz w:val="20"/>
          <w:szCs w:val="20"/>
        </w:rPr>
        <w:t xml:space="preserve">Orbit counts are a near-complete connectivity fingerprint for cell type. δ = 0.9529: 81 of 85 types have distinct orbit signatures. The four tied pairs — CA1 Basket with CA1 Basket CCK+, CA1 Bistratified with CA1 Ivy, CA3 Basket with CA3 Basket CCK+, MEC LIII Superficial Multipolar with Trilayered — are types Hippocampome separates on molecular markers rather than connectivity. The tie is a property of the data, not of the features.</w:t>
      </w:r>
    </w:p>
    <w:p>
      <w:pPr>
        <w:pStyle w:val="ListParagraph"/>
        <w:numPr>
          <w:ilvl w:val="0"/>
          <w:numId w:val="2"/>
        </w:numPr>
        <w:spacing w:after="90" w:line="270"/>
      </w:pPr>
      <w:r>
        <w:rPr>
          <w:rFonts w:ascii="Calibri" w:cs="Calibri" w:eastAsia="Calibri" w:hAnsi="Calibri"/>
          <w:color w:val="1A1F2B"/>
          <w:sz w:val="20"/>
          <w:szCs w:val="20"/>
        </w:rPr>
        <w:t xml:space="preserve">An exact and fast counting method. Orbit counting uses a 64-pattern lookup over node triples rather than subgraph isomorphism search: exact, no automorphism correction, about 0.4 seconds against roughly 30, validated against the standard triad census at 119,342 triads.</w:t>
      </w:r>
    </w:p>
    <w:p>
      <w:pPr>
        <w:spacing w:after="100"/>
      </w:pPr>
      <w:r>
        <w:rPr>
          <w:sz w:val="2"/>
          <w:szCs w:val="2"/>
        </w:rPr>
        <w:t xml:space="preserve"/>
      </w:r>
    </w:p>
    <w:p>
      <w:pPr>
        <w:spacing w:after="100" w:line="276"/>
      </w:pPr>
      <w:r>
        <w:rPr>
          <w:rFonts w:ascii="Calibri" w:cs="Calibri" w:eastAsia="Calibri" w:hAnsi="Calibri"/>
          <w:b/>
          <w:bCs/>
          <w:color w:val="C1553B"/>
          <w:sz w:val="21"/>
          <w:szCs w:val="21"/>
        </w:rPr>
        <w:t xml:space="preserve">The decisive experiment, not yet run</w:t>
      </w:r>
    </w:p>
    <w:p>
      <w:pPr>
        <w:spacing w:after="140" w:line="276"/>
      </w:pPr>
      <w:r>
        <w:rPr>
          <w:rFonts w:ascii="Calibri" w:cs="Calibri" w:eastAsia="Calibri" w:hAnsi="Calibri"/>
          <w:color w:val="1A1F2B"/>
          <w:sz w:val="21"/>
          <w:szCs w:val="21"/>
        </w:rPr>
        <w:t xml:space="preserve">The edge attribute carries the coupling magnitude, which is most of what determines the dynamics, so headroom for purely structural features is smaller than in the published unweighted benchmarks. Given the §4 finding that the geometry resides in the weights, the informative design is three-way:</w:t>
      </w:r>
    </w:p>
    <w:p>
      <w:pPr>
        <w:pStyle w:val="ListParagraph"/>
        <w:numPr>
          <w:ilvl w:val="0"/>
          <w:numId w:val="2"/>
        </w:numPr>
        <w:spacing w:after="90" w:line="270"/>
      </w:pPr>
      <w:r>
        <w:rPr>
          <w:rFonts w:ascii="Calibri" w:cs="Calibri" w:eastAsia="Calibri" w:hAnsi="Calibri"/>
          <w:color w:val="1A1F2B"/>
          <w:sz w:val="20"/>
          <w:szCs w:val="20"/>
        </w:rPr>
        <w:t xml:space="preserve">(a) orbit counts only — pure topology;</w:t>
      </w:r>
    </w:p>
    <w:p>
      <w:pPr>
        <w:pStyle w:val="ListParagraph"/>
        <w:numPr>
          <w:ilvl w:val="0"/>
          <w:numId w:val="2"/>
        </w:numPr>
        <w:spacing w:after="90" w:line="270"/>
      </w:pPr>
      <w:r>
        <w:rPr>
          <w:rFonts w:ascii="Calibri" w:cs="Calibri" w:eastAsia="Calibri" w:hAnsi="Calibri"/>
          <w:color w:val="1A1F2B"/>
          <w:sz w:val="20"/>
          <w:szCs w:val="20"/>
        </w:rPr>
        <w:t xml:space="preserve">(b) orbit counts plus q_i and κ_j as node features — topology with demography and excitability;</w:t>
      </w:r>
    </w:p>
    <w:p>
      <w:pPr>
        <w:pStyle w:val="ListParagraph"/>
        <w:numPr>
          <w:ilvl w:val="0"/>
          <w:numId w:val="2"/>
        </w:numPr>
        <w:spacing w:after="90" w:line="270"/>
      </w:pPr>
      <w:r>
        <w:rPr>
          <w:rFonts w:ascii="Calibri" w:cs="Calibri" w:eastAsia="Calibri" w:hAnsi="Calibri"/>
          <w:color w:val="1A1F2B"/>
          <w:sz w:val="20"/>
          <w:szCs w:val="20"/>
        </w:rPr>
        <w:t xml:space="preserve">(c) the full model, with coupling magnitude in the edge attribute.</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1F4F8" w:color="auto" w:val="clear"/>
            <w:tcMar>
              <w:top w:type="dxa" w:w="130"/>
              <w:left w:type="dxa" w:w="160"/>
              <w:bottom w:type="dxa" w:w="130"/>
              <w:right w:type="dxa" w:w="160"/>
            </w:tcMar>
          </w:tcPr>
          <w:p>
            <w:pPr>
              <w:spacing w:after="0" w:line="270"/>
            </w:pPr>
            <w:r>
              <w:rPr>
                <w:rFonts w:ascii="Calibri" w:cs="Calibri" w:eastAsia="Calibri" w:hAnsi="Calibri"/>
                <w:color w:val="1A1F2B"/>
                <w:sz w:val="20"/>
                <w:szCs w:val="20"/>
              </w:rPr>
              <w:t xml:space="preserve">If (b) ≈ (c) ≫ (a), motif structure becomes predictive once population size and postsynaptic excitability are known, making the three-node motif load-bearing for the central argument rather than parallel to it. The experiment is informative in either direction: a poor result for (a) alone confirms, rather than undermines, the finding that topology alone carries little of the dynamics.</w:t>
            </w:r>
          </w:p>
        </w:tc>
      </w:tr>
    </w:tbl>
    <w:p>
      <w:pPr>
        <w:spacing w:after="120"/>
      </w:pPr>
      <w:r>
        <w:rPr>
          <w:sz w:val="2"/>
          <w:szCs w:val="2"/>
        </w:rPr>
        <w:t xml:space="preserve"/>
      </w:r>
    </w:p>
    <w:p>
      <w:pPr>
        <w:spacing w:after="140" w:line="276"/>
      </w:pPr>
      <w:r>
        <w:rPr>
          <w:rFonts w:ascii="Calibri" w:cs="Calibri" w:eastAsia="Calibri" w:hAnsi="Calibri"/>
          <w:i/>
          <w:iCs/>
          <w:color w:val="5A6472"/>
          <w:sz w:val="18"/>
          <w:szCs w:val="18"/>
        </w:rPr>
        <w:t xml:space="preserve">Sources: graph_subnetworks/gsn_connectome.py and GSN_connectome_workflow.ipynb. Method reference: Bouritsas et al. (2022) IEEE TPAMI 45(1):657–668.</w:t>
      </w:r>
    </w:p>
    <w:p>
      <w:pPr>
        <w:pBdr>
          <w:bottom w:val="single" w:color="D7DEE7" w:sz="6"/>
        </w:pBdr>
        <w:spacing w:after="180" w:before="60"/>
      </w:pPr>
      <w:r>
        <w:rPr>
          <w:sz w:val="2"/>
          <w:szCs w:val="2"/>
        </w:rPr>
        <w:t xml:space="preserve"/>
      </w:r>
    </w:p>
    <w:p>
      <w:pPr>
        <w:pStyle w:val="Heading1"/>
        <w:spacing w:after="150" w:before="320"/>
      </w:pPr>
      <w:r>
        <w:rPr>
          <w:rFonts w:ascii="Cambria" w:cs="Cambria" w:eastAsia="Cambria" w:hAnsi="Cambria"/>
          <w:b/>
          <w:bCs/>
          <w:color w:val="14213D"/>
          <w:sz w:val="28"/>
          <w:szCs w:val="28"/>
        </w:rPr>
        <w:t xml:space="preserve">What this set of techniques buys the project</w:t>
      </w:r>
    </w:p>
    <w:p>
      <w:pPr>
        <w:pStyle w:val="ListParagraph"/>
        <w:numPr>
          <w:ilvl w:val="0"/>
          <w:numId w:val="2"/>
        </w:numPr>
        <w:spacing w:after="90" w:line="270"/>
      </w:pPr>
      <w:r>
        <w:rPr>
          <w:rFonts w:ascii="Calibri" w:cs="Calibri" w:eastAsia="Calibri" w:hAnsi="Calibri"/>
          <w:color w:val="1A1F2B"/>
          <w:sz w:val="20"/>
          <w:szCs w:val="20"/>
        </w:rPr>
        <w:t xml:space="preserve">A claim that can be falsified. The circuit is functionally feedforward inside a structurally recurrent graph, and that geometry rather than its spectrum governs its transient dynamics. Four scales measure the same thing — edge-weight ordering, triad census, block asymmetry, operator non-normality — with a normal surrogate of identical spectrum as the control.</w:t>
      </w:r>
    </w:p>
    <w:p>
      <w:pPr>
        <w:pStyle w:val="ListParagraph"/>
        <w:numPr>
          <w:ilvl w:val="0"/>
          <w:numId w:val="2"/>
        </w:numPr>
        <w:spacing w:after="90" w:line="270"/>
      </w:pPr>
      <w:r>
        <w:rPr>
          <w:rFonts w:ascii="Calibri" w:cs="Calibri" w:eastAsia="Calibri" w:hAnsi="Calibri"/>
          <w:color w:val="1A1F2B"/>
          <w:sz w:val="20"/>
          <w:szCs w:val="20"/>
        </w:rPr>
        <w:t xml:space="preserve">An argument for parameterised connectomics. Because the synaptic substrate is close to E/I-balanced and the geometry comes from census and excitability, a binary or even synaptically weighted connectome is insufficient to predict dynamics. The Hippocampome parameter tables are doing indispensable work.</w:t>
      </w:r>
    </w:p>
    <w:p>
      <w:pPr>
        <w:pStyle w:val="ListParagraph"/>
        <w:numPr>
          <w:ilvl w:val="0"/>
          <w:numId w:val="2"/>
        </w:numPr>
        <w:spacing w:after="90" w:line="270"/>
      </w:pPr>
      <w:r>
        <w:rPr>
          <w:rFonts w:ascii="Calibri" w:cs="Calibri" w:eastAsia="Calibri" w:hAnsi="Calibri"/>
          <w:color w:val="1A1F2B"/>
          <w:sz w:val="20"/>
          <w:szCs w:val="20"/>
        </w:rPr>
        <w:t xml:space="preserve">Cell-type-resolved predictions. Named interneurons are identified as the disinhibitory relays setting the excitatory operating point, which no prior treatment of this circuit has been able to specify.</w:t>
      </w:r>
    </w:p>
    <w:p>
      <w:pPr>
        <w:pStyle w:val="ListParagraph"/>
        <w:numPr>
          <w:ilvl w:val="0"/>
          <w:numId w:val="2"/>
        </w:numPr>
        <w:spacing w:after="90" w:line="270"/>
      </w:pPr>
      <w:r>
        <w:rPr>
          <w:rFonts w:ascii="Calibri" w:cs="Calibri" w:eastAsia="Calibri" w:hAnsi="Calibri"/>
          <w:color w:val="1A1F2B"/>
          <w:sz w:val="20"/>
          <w:szCs w:val="20"/>
        </w:rPr>
        <w:t xml:space="preserve">Conventions asserted in code rather than remembered, which is what makes the results reproducible by someone other than me.</w:t>
      </w:r>
    </w:p>
    <w:p>
      <w:pPr>
        <w:spacing w:after="140"/>
      </w:pPr>
      <w:r>
        <w:rPr>
          <w:sz w:val="2"/>
          <w:szCs w:val="2"/>
        </w:rPr>
        <w:t xml:space="preserve"/>
      </w:r>
    </w:p>
    <w:p>
      <w:pPr>
        <w:spacing w:after="100" w:line="276"/>
      </w:pPr>
      <w:r>
        <w:rPr>
          <w:rFonts w:ascii="Calibri" w:cs="Calibri" w:eastAsia="Calibri" w:hAnsi="Calibri"/>
          <w:b/>
          <w:bCs/>
          <w:color w:val="14213D"/>
          <w:sz w:val="21"/>
          <w:szCs w:val="21"/>
        </w:rPr>
        <w:t xml:space="preserve">Two honest limits</w:t>
      </w:r>
    </w:p>
    <w:p>
      <w:pPr>
        <w:spacing w:after="200" w:line="276"/>
      </w:pPr>
      <w:r>
        <w:rPr>
          <w:rFonts w:ascii="Calibri" w:cs="Calibri" w:eastAsia="Calibri" w:hAnsi="Calibri"/>
          <w:color w:val="1A1F2B"/>
          <w:sz w:val="21"/>
          <w:szCs w:val="21"/>
        </w:rPr>
        <w:t xml:space="preserve">Magnitudes are conditional on normalisation and on the choice of activity variable, so claims are ordinal and comparative. And non-normal amplification is a linear phenomenon: whether the 27-fold transient survives a saturating nonlinearity is untested, and that test is the next priority.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 analytical techniques applied to the Hippocampome connectome</dc:title>
  <dc:creator>Roxanne Aniceto</dc:creator>
  <cp:lastModifiedBy>Un-named</cp:lastModifiedBy>
  <cp:revision>1</cp:revision>
  <dcterms:created xsi:type="dcterms:W3CDTF">2026-09-15T22:04:47.770Z</dcterms:created>
  <dcterms:modified xsi:type="dcterms:W3CDTF">2026-09-15T22:04:47.778Z</dcterms:modified>
</cp:coreProperties>
</file>

<file path=docProps/custom.xml><?xml version="1.0" encoding="utf-8"?>
<Properties xmlns="http://schemas.openxmlformats.org/officeDocument/2006/custom-properties" xmlns:vt="http://schemas.openxmlformats.org/officeDocument/2006/docPropsVTypes"/>
</file>