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Motif Analysis Project Methods Summary</w:t>
      </w:r>
    </w:p>
    <w:p>
      <w:pPr>
        <w:pStyle w:val="Subtitle"/>
      </w:pPr>
      <w:r>
        <w:t>Prepared for advisor review | Project folder motif_analysis | September 5 2026</w:t>
      </w:r>
    </w:p>
    <w:p>
      <w:r>
        <w:rPr>
          <w:b/>
        </w:rPr>
        <w:t xml:space="preserve">Purpose. </w:t>
      </w:r>
      <w:r>
        <w:t>This document summarizes the current motif_analysis project, which examines directed and signed connectivity motifs in a hippocampal and entorhinal network derived from Mij connectivity data. The project asks whether particular excitatory and inhibitory two-edge triad patterns are overrepresented, where they occur anatomically, and whether they are plausibly related to network stability.</w:t>
      </w:r>
    </w:p>
    <w:p>
      <w:r>
        <w:rPr>
          <w:b/>
        </w:rPr>
        <w:t xml:space="preserve">Main conclusion. </w:t>
      </w:r>
      <w:r>
        <w:t>The codebase contains an exploratory but coherent analysis pipeline: it builds motif counts from a signed adjacency matrix, compares observed counts with a degree-preserving randomized null model, perturbs motif classes to estimate their effect on the dominant eigenvalue, groups occurrences by parsed brain region, and applies a stricter nomination rule for candidate stabilizing motifs. The current results are useful for advisor discussion, but the notebook and method definitions should be cleaned before treating the findings as final.</w:t>
      </w:r>
    </w:p>
    <w:p>
      <w:pPr>
        <w:pStyle w:val="Heading1"/>
      </w:pPr>
      <w:r>
        <w:t>Project At A Glance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shd w:fill="1F4E79"/>
          </w:tcPr>
          <w:p>
            <w:pPr>
              <w:spacing w:after="0" w:line="259" w:lineRule="auto"/>
            </w:pPr>
            <w:r>
              <w:rPr>
                <w:rFonts w:ascii="Aptos" w:hAnsi="Aptos"/>
                <w:b/>
                <w:color w:val="FFFFFF"/>
                <w:sz w:val="18"/>
              </w:rPr>
              <w:t>Item</w:t>
            </w:r>
          </w:p>
        </w:tc>
        <w:tc>
          <w:tcPr>
            <w:tcW w:type="dxa" w:w="74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shd w:fill="1F4E79"/>
          </w:tcPr>
          <w:p>
            <w:pPr>
              <w:spacing w:after="0" w:line="259" w:lineRule="auto"/>
            </w:pPr>
            <w:r>
              <w:rPr>
                <w:rFonts w:ascii="Aptos" w:hAnsi="Aptos"/>
                <w:b/>
                <w:color w:val="FFFFFF"/>
                <w:sz w:val="18"/>
              </w:rPr>
              <w:t>Current state</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tcPr>
          <w:p>
            <w:pPr>
              <w:spacing w:after="0" w:line="259" w:lineRule="auto"/>
            </w:pPr>
            <w:r>
              <w:rPr>
                <w:rFonts w:ascii="Aptos" w:hAnsi="Aptos"/>
                <w:sz w:val="18"/>
              </w:rPr>
              <w:t>Primary data</w:t>
            </w:r>
          </w:p>
        </w:tc>
        <w:tc>
          <w:tcPr>
            <w:tcW w:type="dxa" w:w="74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tcPr>
          <w:p>
            <w:pPr>
              <w:spacing w:after="0" w:line="259" w:lineRule="auto"/>
            </w:pPr>
            <w:r>
              <w:rPr>
                <w:rFonts w:ascii="Aptos" w:hAnsi="Aptos"/>
                <w:sz w:val="18"/>
              </w:rPr>
              <w:t>mij_matrix.csv is an 85 by 85 directed weighted connectivity matrix; mij_netlist.csv lists 1,641 directed nonzero connections.</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shd w:fill="F4F7FA"/>
          </w:tcPr>
          <w:p>
            <w:pPr>
              <w:spacing w:after="0" w:line="259" w:lineRule="auto"/>
            </w:pPr>
            <w:r>
              <w:rPr>
                <w:rFonts w:ascii="Aptos" w:hAnsi="Aptos"/>
                <w:sz w:val="18"/>
              </w:rPr>
              <w:t>Biological scope</w:t>
            </w:r>
          </w:p>
        </w:tc>
        <w:tc>
          <w:tcPr>
            <w:tcW w:type="dxa" w:w="74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shd w:fill="F4F7FA"/>
          </w:tcPr>
          <w:p>
            <w:pPr>
              <w:spacing w:after="0" w:line="259" w:lineRule="auto"/>
            </w:pPr>
            <w:r>
              <w:rPr>
                <w:rFonts w:ascii="Aptos" w:hAnsi="Aptos"/>
                <w:sz w:val="18"/>
              </w:rPr>
              <w:t>Neuron classes are parsed into 9 region labels: CA1, CA2, CA3, CA3c, DG, EC, LEC, MEC, and SUB.</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tcPr>
          <w:p>
            <w:pPr>
              <w:spacing w:after="0" w:line="259" w:lineRule="auto"/>
            </w:pPr>
            <w:r>
              <w:rPr>
                <w:rFonts w:ascii="Aptos" w:hAnsi="Aptos"/>
                <w:sz w:val="18"/>
              </w:rPr>
              <w:t>Connection signs</w:t>
            </w:r>
          </w:p>
        </w:tc>
        <w:tc>
          <w:tcPr>
            <w:tcW w:type="dxa" w:w="74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tcPr>
          <w:p>
            <w:pPr>
              <w:spacing w:after="0" w:line="259" w:lineRule="auto"/>
            </w:pPr>
            <w:r>
              <w:rPr>
                <w:rFonts w:ascii="Aptos" w:hAnsi="Aptos"/>
                <w:sz w:val="18"/>
              </w:rPr>
              <w:t>Positive weights are treated as excitatory influence and negative weights as inhibitory influence; the netlist also stores explicit pre and post E/I labels.</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shd w:fill="F4F7FA"/>
          </w:tcPr>
          <w:p>
            <w:pPr>
              <w:spacing w:after="0" w:line="259" w:lineRule="auto"/>
            </w:pPr>
            <w:r>
              <w:rPr>
                <w:rFonts w:ascii="Aptos" w:hAnsi="Aptos"/>
                <w:sz w:val="18"/>
              </w:rPr>
              <w:t>Core question</w:t>
            </w:r>
          </w:p>
        </w:tc>
        <w:tc>
          <w:tcPr>
            <w:tcW w:type="dxa" w:w="74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shd w:fill="F4F7FA"/>
          </w:tcPr>
          <w:p>
            <w:pPr>
              <w:spacing w:after="0" w:line="259" w:lineRule="auto"/>
            </w:pPr>
            <w:r>
              <w:rPr>
                <w:rFonts w:ascii="Aptos" w:hAnsi="Aptos"/>
                <w:sz w:val="18"/>
              </w:rPr>
              <w:t>Which two-edge directed E/I-labeled triads are enriched relative to degree-preserving random networks, and which may influence stability?</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tcPr>
          <w:p>
            <w:pPr>
              <w:spacing w:after="0" w:line="259" w:lineRule="auto"/>
            </w:pPr>
            <w:r>
              <w:rPr>
                <w:rFonts w:ascii="Aptos" w:hAnsi="Aptos"/>
                <w:sz w:val="18"/>
              </w:rPr>
              <w:t>Main implementation files</w:t>
            </w:r>
          </w:p>
        </w:tc>
        <w:tc>
          <w:tcPr>
            <w:tcW w:type="dxa" w:w="74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tcPr>
          <w:p>
            <w:pPr>
              <w:spacing w:after="0" w:line="259" w:lineRule="auto"/>
            </w:pPr>
            <w:r>
              <w:rPr>
                <w:rFonts w:ascii="Aptos" w:hAnsi="Aptos"/>
                <w:sz w:val="18"/>
              </w:rPr>
              <w:t>triad_modulation_analysis.ipynb orchestrates the workflow, and triad_utils.py contains motif counting, null models, perturbation, regional analysis, Schur-style summaries, and nomination logic.</w:t>
            </w:r>
          </w:p>
        </w:tc>
      </w:tr>
    </w:tbl>
    <w:p/>
    <w:p>
      <w:pPr>
        <w:pStyle w:val="Heading1"/>
      </w:pPr>
      <w:r>
        <w:t>Data Inputs</w:t>
      </w:r>
    </w:p>
    <w:p>
      <w:r>
        <w:rPr>
          <w:b/>
        </w:rPr>
        <w:t xml:space="preserve">The project uses three related inputs. </w:t>
      </w:r>
      <w:r>
        <w:t>The compressed parameter file contains connection-parameter and neuron-parameter CSV files exported on August 18 2026. The derived netlist records presynaptic and postsynaptic neuron types, E/I labels, base weights, postsynaptic kappa terms, and final Mij values. The matrix file converts those Mij values into a square directed adjacency matrix, with rows representing source neuron classes and columns representing target neuron classes.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shd w:fill="1F4E79"/>
          </w:tcPr>
          <w:p>
            <w:pPr>
              <w:spacing w:after="0" w:line="259" w:lineRule="auto"/>
            </w:pPr>
            <w:r>
              <w:rPr>
                <w:rFonts w:ascii="Aptos" w:hAnsi="Aptos"/>
                <w:b/>
                <w:color w:val="FFFFFF"/>
                <w:sz w:val="18"/>
              </w:rPr>
              <w:t>Dataset fact</w:t>
            </w:r>
          </w:p>
        </w:tc>
        <w:tc>
          <w:tcPr>
            <w:tcW w:type="dxa" w:w="62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shd w:fill="1F4E79"/>
          </w:tcPr>
          <w:p>
            <w:pPr>
              <w:spacing w:after="0" w:line="259" w:lineRule="auto"/>
            </w:pPr>
            <w:r>
              <w:rPr>
                <w:rFonts w:ascii="Aptos" w:hAnsi="Aptos"/>
                <w:b/>
                <w:color w:val="FFFFFF"/>
                <w:sz w:val="18"/>
              </w:rPr>
              <w:t>Value</w:t>
            </w:r>
          </w:p>
        </w:tc>
      </w:tr>
      <w:t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tcPr>
          <w:p>
            <w:pPr>
              <w:spacing w:after="0" w:line="259" w:lineRule="auto"/>
            </w:pPr>
            <w:r>
              <w:rPr>
                <w:rFonts w:ascii="Aptos" w:hAnsi="Aptos"/>
                <w:sz w:val="18"/>
              </w:rPr>
              <w:t>Neuron classes in matrix</w:t>
            </w:r>
          </w:p>
        </w:tc>
        <w:tc>
          <w:tcPr>
            <w:tcW w:type="dxa" w:w="62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tcPr>
          <w:p>
            <w:pPr>
              <w:spacing w:after="0" w:line="259" w:lineRule="auto"/>
            </w:pPr>
            <w:r>
              <w:rPr>
                <w:rFonts w:ascii="Aptos" w:hAnsi="Aptos"/>
                <w:sz w:val="18"/>
              </w:rPr>
              <w:t>85</w:t>
            </w:r>
          </w:p>
        </w:tc>
      </w:tr>
      <w:t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shd w:fill="F4F7FA"/>
          </w:tcPr>
          <w:p>
            <w:pPr>
              <w:spacing w:after="0" w:line="259" w:lineRule="auto"/>
            </w:pPr>
            <w:r>
              <w:rPr>
                <w:rFonts w:ascii="Aptos" w:hAnsi="Aptos"/>
                <w:sz w:val="18"/>
              </w:rPr>
              <w:t>Nonzero directed matrix entries</w:t>
            </w:r>
          </w:p>
        </w:tc>
        <w:tc>
          <w:tcPr>
            <w:tcW w:type="dxa" w:w="62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shd w:fill="F4F7FA"/>
          </w:tcPr>
          <w:p>
            <w:pPr>
              <w:spacing w:after="0" w:line="259" w:lineRule="auto"/>
            </w:pPr>
            <w:r>
              <w:rPr>
                <w:rFonts w:ascii="Aptos" w:hAnsi="Aptos"/>
                <w:sz w:val="18"/>
              </w:rPr>
              <w:t>1,641</w:t>
            </w:r>
          </w:p>
        </w:tc>
      </w:tr>
      <w:t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tcPr>
          <w:p>
            <w:pPr>
              <w:spacing w:after="0" w:line="259" w:lineRule="auto"/>
            </w:pPr>
            <w:r>
              <w:rPr>
                <w:rFonts w:ascii="Aptos" w:hAnsi="Aptos"/>
                <w:sz w:val="18"/>
              </w:rPr>
              <w:t>Off-diagonal nonzero entries</w:t>
            </w:r>
          </w:p>
        </w:tc>
        <w:tc>
          <w:tcPr>
            <w:tcW w:type="dxa" w:w="62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tcPr>
          <w:p>
            <w:pPr>
              <w:spacing w:after="0" w:line="259" w:lineRule="auto"/>
            </w:pPr>
            <w:r>
              <w:rPr>
                <w:rFonts w:ascii="Aptos" w:hAnsi="Aptos"/>
                <w:sz w:val="18"/>
              </w:rPr>
              <w:t>1,570</w:t>
            </w:r>
          </w:p>
        </w:tc>
      </w:tr>
      <w:t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shd w:fill="F4F7FA"/>
          </w:tcPr>
          <w:p>
            <w:pPr>
              <w:spacing w:after="0" w:line="259" w:lineRule="auto"/>
            </w:pPr>
            <w:r>
              <w:rPr>
                <w:rFonts w:ascii="Aptos" w:hAnsi="Aptos"/>
                <w:sz w:val="18"/>
              </w:rPr>
              <w:t>Positive matrix entries</w:t>
            </w:r>
          </w:p>
        </w:tc>
        <w:tc>
          <w:tcPr>
            <w:tcW w:type="dxa" w:w="62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shd w:fill="F4F7FA"/>
          </w:tcPr>
          <w:p>
            <w:pPr>
              <w:spacing w:after="0" w:line="259" w:lineRule="auto"/>
            </w:pPr>
            <w:r>
              <w:rPr>
                <w:rFonts w:ascii="Aptos" w:hAnsi="Aptos"/>
                <w:sz w:val="18"/>
              </w:rPr>
              <w:t>734 total, 707 off diagonal</w:t>
            </w:r>
          </w:p>
        </w:tc>
      </w:tr>
      <w:t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tcPr>
          <w:p>
            <w:pPr>
              <w:spacing w:after="0" w:line="259" w:lineRule="auto"/>
            </w:pPr>
            <w:r>
              <w:rPr>
                <w:rFonts w:ascii="Aptos" w:hAnsi="Aptos"/>
                <w:sz w:val="18"/>
              </w:rPr>
              <w:t>Negative matrix entries</w:t>
            </w:r>
          </w:p>
        </w:tc>
        <w:tc>
          <w:tcPr>
            <w:tcW w:type="dxa" w:w="62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tcPr>
          <w:p>
            <w:pPr>
              <w:spacing w:after="0" w:line="259" w:lineRule="auto"/>
            </w:pPr>
            <w:r>
              <w:rPr>
                <w:rFonts w:ascii="Aptos" w:hAnsi="Aptos"/>
                <w:sz w:val="18"/>
              </w:rPr>
              <w:t>907 total, 863 off diagonal</w:t>
            </w:r>
          </w:p>
        </w:tc>
      </w:tr>
      <w:t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shd w:fill="F4F7FA"/>
          </w:tcPr>
          <w:p>
            <w:pPr>
              <w:spacing w:after="0" w:line="259" w:lineRule="auto"/>
            </w:pPr>
            <w:r>
              <w:rPr>
                <w:rFonts w:ascii="Aptos" w:hAnsi="Aptos"/>
                <w:sz w:val="18"/>
              </w:rPr>
              <w:t>Nonzero diagonal entries</w:t>
            </w:r>
          </w:p>
        </w:tc>
        <w:tc>
          <w:tcPr>
            <w:tcW w:type="dxa" w:w="62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shd w:fill="F4F7FA"/>
          </w:tcPr>
          <w:p>
            <w:pPr>
              <w:spacing w:after="0" w:line="259" w:lineRule="auto"/>
            </w:pPr>
            <w:r>
              <w:rPr>
                <w:rFonts w:ascii="Aptos" w:hAnsi="Aptos"/>
                <w:sz w:val="18"/>
              </w:rPr>
              <w:t>71</w:t>
            </w:r>
          </w:p>
        </w:tc>
      </w:tr>
      <w:t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tcPr>
          <w:p>
            <w:pPr>
              <w:spacing w:after="0" w:line="259" w:lineRule="auto"/>
            </w:pPr>
            <w:r>
              <w:rPr>
                <w:rFonts w:ascii="Aptos" w:hAnsi="Aptos"/>
                <w:sz w:val="18"/>
              </w:rPr>
              <w:t>Connection-parameter rows in source archive</w:t>
            </w:r>
          </w:p>
        </w:tc>
        <w:tc>
          <w:tcPr>
            <w:tcW w:type="dxa" w:w="62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tcPr>
          <w:p>
            <w:pPr>
              <w:spacing w:after="0" w:line="259" w:lineRule="auto"/>
            </w:pPr>
            <w:r>
              <w:rPr>
                <w:rFonts w:ascii="Aptos" w:hAnsi="Aptos"/>
                <w:sz w:val="18"/>
              </w:rPr>
              <w:t>3,012</w:t>
            </w:r>
          </w:p>
        </w:tc>
      </w:tr>
      <w:t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shd w:fill="F4F7FA"/>
          </w:tcPr>
          <w:p>
            <w:pPr>
              <w:spacing w:after="0" w:line="259" w:lineRule="auto"/>
            </w:pPr>
            <w:r>
              <w:rPr>
                <w:rFonts w:ascii="Aptos" w:hAnsi="Aptos"/>
                <w:sz w:val="18"/>
              </w:rPr>
              <w:t>Neuron-parameter rows in source archive</w:t>
            </w:r>
          </w:p>
        </w:tc>
        <w:tc>
          <w:tcPr>
            <w:tcW w:type="dxa" w:w="62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shd w:fill="F4F7FA"/>
          </w:tcPr>
          <w:p>
            <w:pPr>
              <w:spacing w:after="0" w:line="259" w:lineRule="auto"/>
            </w:pPr>
            <w:r>
              <w:rPr>
                <w:rFonts w:ascii="Aptos" w:hAnsi="Aptos"/>
                <w:sz w:val="18"/>
              </w:rPr>
              <w:t>120</w:t>
            </w:r>
          </w:p>
        </w:tc>
      </w:tr>
    </w:tbl>
    <w:p/>
    <w:p>
      <w:pPr>
        <w:pStyle w:val="Heading1"/>
      </w:pPr>
      <w:r>
        <w:t>Methods Used And Why</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shd w:fill="1F4E79"/>
          </w:tcPr>
          <w:p>
            <w:pPr>
              <w:spacing w:after="0" w:line="259" w:lineRule="auto"/>
            </w:pPr>
            <w:r>
              <w:rPr>
                <w:rFonts w:ascii="Aptos" w:hAnsi="Aptos"/>
                <w:b/>
                <w:color w:val="FFFFFF"/>
                <w:sz w:val="18"/>
              </w:rPr>
              <w:t>Method</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shd w:fill="1F4E79"/>
          </w:tcPr>
          <w:p>
            <w:pPr>
              <w:spacing w:after="0" w:line="259" w:lineRule="auto"/>
            </w:pPr>
            <w:r>
              <w:rPr>
                <w:rFonts w:ascii="Aptos" w:hAnsi="Aptos"/>
                <w:b/>
                <w:color w:val="FFFFFF"/>
                <w:sz w:val="18"/>
              </w:rPr>
              <w:t>How it is used</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shd w:fill="1F4E79"/>
          </w:tcPr>
          <w:p>
            <w:pPr>
              <w:spacing w:after="0" w:line="259" w:lineRule="auto"/>
            </w:pPr>
            <w:r>
              <w:rPr>
                <w:rFonts w:ascii="Aptos" w:hAnsi="Aptos"/>
                <w:b/>
                <w:color w:val="FFFFFF"/>
                <w:sz w:val="18"/>
              </w:rPr>
              <w:t>Why this method fits the project</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tcPr>
          <w:p>
            <w:pPr>
              <w:spacing w:after="0" w:line="259" w:lineRule="auto"/>
            </w:pPr>
            <w:r>
              <w:rPr>
                <w:rFonts w:ascii="Aptos" w:hAnsi="Aptos"/>
                <w:sz w:val="18"/>
              </w:rPr>
              <w:t>Signed directed adjacency matrix</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tcPr>
          <w:p>
            <w:pPr>
              <w:spacing w:after="0" w:line="259" w:lineRule="auto"/>
            </w:pPr>
            <w:r>
              <w:rPr>
                <w:rFonts w:ascii="Aptos" w:hAnsi="Aptos"/>
                <w:sz w:val="18"/>
              </w:rPr>
              <w:t>The analysis reads mij_matrix.csv into a square matrix M and keeps positive and negative weights as signed directed edges.</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tcPr>
          <w:p>
            <w:pPr>
              <w:spacing w:after="0" w:line="259" w:lineRule="auto"/>
            </w:pPr>
            <w:r>
              <w:rPr>
                <w:rFonts w:ascii="Aptos" w:hAnsi="Aptos"/>
                <w:sz w:val="18"/>
              </w:rPr>
              <w:t>A matrix representation is the natural format for motif counting and spectral stability analyses because it preserves edge direction, sign, and weight in one object.</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shd w:fill="F4F7FA"/>
          </w:tcPr>
          <w:p>
            <w:pPr>
              <w:spacing w:after="0" w:line="259" w:lineRule="auto"/>
            </w:pPr>
            <w:r>
              <w:rPr>
                <w:rFonts w:ascii="Aptos" w:hAnsi="Aptos"/>
                <w:sz w:val="18"/>
              </w:rPr>
              <w:t>E/I-labeled two-edge triads</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shd w:fill="F4F7FA"/>
          </w:tcPr>
          <w:p>
            <w:pPr>
              <w:spacing w:after="0" w:line="259" w:lineRule="auto"/>
            </w:pPr>
            <w:r>
              <w:rPr>
                <w:rFonts w:ascii="Aptos" w:hAnsi="Aptos"/>
                <w:sz w:val="18"/>
              </w:rPr>
              <w:t>For each set of three distinct nodes, the code keeps cases with exactly two nonzero directed edges and encodes the E/I status of the ordered nodes plus the six possible directed edge signs.</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shd w:fill="F4F7FA"/>
          </w:tcPr>
          <w:p>
            <w:pPr>
              <w:spacing w:after="0" w:line="259" w:lineRule="auto"/>
            </w:pPr>
            <w:r>
              <w:rPr>
                <w:rFonts w:ascii="Aptos" w:hAnsi="Aptos"/>
                <w:sz w:val="18"/>
              </w:rPr>
              <w:t>Two-edge triads are small enough to enumerate exactly while still capturing feedforward, feedback, convergent, and divergent local circuit structure.</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tcPr>
          <w:p>
            <w:pPr>
              <w:spacing w:after="0" w:line="259" w:lineRule="auto"/>
            </w:pPr>
            <w:r>
              <w:rPr>
                <w:rFonts w:ascii="Aptos" w:hAnsi="Aptos"/>
                <w:sz w:val="18"/>
              </w:rPr>
              <w:t>With-self and no-self matrix variants</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tcPr>
          <w:p>
            <w:pPr>
              <w:spacing w:after="0" w:line="259" w:lineRule="auto"/>
            </w:pPr>
            <w:r>
              <w:rPr>
                <w:rFonts w:ascii="Aptos" w:hAnsi="Aptos"/>
                <w:sz w:val="18"/>
              </w:rPr>
              <w:t>The notebook creates one matrix retaining diagonal entries and one with the diagonal zeroed before motif analysis.</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tcPr>
          <w:p>
            <w:pPr>
              <w:spacing w:after="0" w:line="259" w:lineRule="auto"/>
            </w:pPr>
            <w:r>
              <w:rPr>
                <w:rFonts w:ascii="Aptos" w:hAnsi="Aptos"/>
                <w:sz w:val="18"/>
              </w:rPr>
              <w:t>This separates recurrent self-effects from between-cell-type motif structure. In the current two-edge triad counter, the variants produce the same motif counts because only distinct-node edges are inspected.</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shd w:fill="F4F7FA"/>
          </w:tcPr>
          <w:p>
            <w:pPr>
              <w:spacing w:after="0" w:line="259" w:lineRule="auto"/>
            </w:pPr>
            <w:r>
              <w:rPr>
                <w:rFonts w:ascii="Aptos" w:hAnsi="Aptos"/>
                <w:sz w:val="18"/>
              </w:rPr>
              <w:t>Degree-preserving directed null model</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shd w:fill="F4F7FA"/>
          </w:tcPr>
          <w:p>
            <w:pPr>
              <w:spacing w:after="0" w:line="259" w:lineRule="auto"/>
            </w:pPr>
            <w:r>
              <w:rPr>
                <w:rFonts w:ascii="Aptos" w:hAnsi="Aptos"/>
                <w:sz w:val="18"/>
              </w:rPr>
              <w:t>Random networks are generated with double-edge swaps that preserve each node's off-diagonal in-degree and out-degree while moving edge weights.</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shd w:fill="F4F7FA"/>
          </w:tcPr>
          <w:p>
            <w:pPr>
              <w:spacing w:after="0" w:line="259" w:lineRule="auto"/>
            </w:pPr>
            <w:r>
              <w:rPr>
                <w:rFonts w:ascii="Aptos" w:hAnsi="Aptos"/>
                <w:sz w:val="18"/>
              </w:rPr>
              <w:t>This controls for broad connectivity density and node degree, so motif enrichment is less likely to reflect only highly connected neuron classes.</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tcPr>
          <w:p>
            <w:pPr>
              <w:spacing w:after="0" w:line="259" w:lineRule="auto"/>
            </w:pPr>
            <w:r>
              <w:rPr>
                <w:rFonts w:ascii="Aptos" w:hAnsi="Aptos"/>
                <w:sz w:val="18"/>
              </w:rPr>
              <w:t>Monte Carlo enrichment statistics</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tcPr>
          <w:p>
            <w:pPr>
              <w:spacing w:after="0" w:line="259" w:lineRule="auto"/>
            </w:pPr>
            <w:r>
              <w:rPr>
                <w:rFonts w:ascii="Aptos" w:hAnsi="Aptos"/>
                <w:sz w:val="18"/>
              </w:rPr>
              <w:t>Observed motif counts are compared with repeated randomized counts to estimate expected counts, standard deviations, z scores, and empirical two-sided p values.</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tcPr>
          <w:p>
            <w:pPr>
              <w:spacing w:after="0" w:line="259" w:lineRule="auto"/>
            </w:pPr>
            <w:r>
              <w:rPr>
                <w:rFonts w:ascii="Aptos" w:hAnsi="Aptos"/>
                <w:sz w:val="18"/>
              </w:rPr>
              <w:t>Exact analytic expectations are difficult for signed, directed, labeled motifs. Simulation gives an interpretable exploratory baseline.</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shd w:fill="F4F7FA"/>
          </w:tcPr>
          <w:p>
            <w:pPr>
              <w:spacing w:after="0" w:line="259" w:lineRule="auto"/>
            </w:pPr>
            <w:r>
              <w:rPr>
                <w:rFonts w:ascii="Aptos" w:hAnsi="Aptos"/>
                <w:sz w:val="18"/>
              </w:rPr>
              <w:t>Eigenvalue perturbation analysis</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shd w:fill="F4F7FA"/>
          </w:tcPr>
          <w:p>
            <w:pPr>
              <w:spacing w:after="0" w:line="259" w:lineRule="auto"/>
            </w:pPr>
            <w:r>
              <w:rPr>
                <w:rFonts w:ascii="Aptos" w:hAnsi="Aptos"/>
                <w:sz w:val="18"/>
              </w:rPr>
              <w:t>For each motif class, the code removes edges participating in that class and compares the dominant real eigenvalue with the original matrix.</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shd w:fill="F4F7FA"/>
          </w:tcPr>
          <w:p>
            <w:pPr>
              <w:spacing w:after="0" w:line="259" w:lineRule="auto"/>
            </w:pPr>
            <w:r>
              <w:rPr>
                <w:rFonts w:ascii="Aptos" w:hAnsi="Aptos"/>
                <w:sz w:val="18"/>
              </w:rPr>
              <w:t>The dominant eigenvalue is a compact summary of growth or instability potential in a linearized network, so shifts can flag motif classes with large dynamical influence.</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tcPr>
          <w:p>
            <w:pPr>
              <w:spacing w:after="0" w:line="259" w:lineRule="auto"/>
            </w:pPr>
            <w:r>
              <w:rPr>
                <w:rFonts w:ascii="Aptos" w:hAnsi="Aptos"/>
                <w:sz w:val="18"/>
              </w:rPr>
              <w:t>Regional grouping</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tcPr>
          <w:p>
            <w:pPr>
              <w:spacing w:after="0" w:line="259" w:lineRule="auto"/>
            </w:pPr>
            <w:r>
              <w:rPr>
                <w:rFonts w:ascii="Aptos" w:hAnsi="Aptos"/>
                <w:sz w:val="18"/>
              </w:rPr>
              <w:t>Neuron labels are parsed by their first token to assign each node to a region, then motif occurrences are grouped by source and target regions.</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tcPr>
          <w:p>
            <w:pPr>
              <w:spacing w:after="0" w:line="259" w:lineRule="auto"/>
            </w:pPr>
            <w:r>
              <w:rPr>
                <w:rFonts w:ascii="Aptos" w:hAnsi="Aptos"/>
                <w:sz w:val="18"/>
              </w:rPr>
              <w:t>This connects motif statistics back to anatomical organization and helps identify whether candidate patterns are localized or distributed.</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shd w:fill="F4F7FA"/>
          </w:tcPr>
          <w:p>
            <w:pPr>
              <w:spacing w:after="0" w:line="259" w:lineRule="auto"/>
            </w:pPr>
            <w:r>
              <w:rPr>
                <w:rFonts w:ascii="Aptos" w:hAnsi="Aptos"/>
                <w:sz w:val="18"/>
              </w:rPr>
              <w:t>Schur-style local spectrum summary</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shd w:fill="F4F7FA"/>
          </w:tcPr>
          <w:p>
            <w:pPr>
              <w:spacing w:after="0" w:line="259" w:lineRule="auto"/>
            </w:pPr>
            <w:r>
              <w:rPr>
                <w:rFonts w:ascii="Aptos" w:hAnsi="Aptos"/>
                <w:sz w:val="18"/>
              </w:rPr>
              <w:t>For each motif occurrence, a three-node submatrix is summarized through Schur decomposition when SciPy is available, otherwise by eigenvalues.</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shd w:fill="F4F7FA"/>
          </w:tcPr>
          <w:p>
            <w:pPr>
              <w:spacing w:after="0" w:line="259" w:lineRule="auto"/>
            </w:pPr>
            <w:r>
              <w:rPr>
                <w:rFonts w:ascii="Aptos" w:hAnsi="Aptos"/>
                <w:sz w:val="18"/>
              </w:rPr>
              <w:t>This gives a local spectral view of each motif class and can help distinguish motifs that are enriched from those that appear dynamically stable.</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tcPr>
          <w:p>
            <w:pPr>
              <w:spacing w:after="0" w:line="259" w:lineRule="auto"/>
            </w:pPr>
            <w:r>
              <w:rPr>
                <w:rFonts w:ascii="Aptos" w:hAnsi="Aptos"/>
                <w:sz w:val="18"/>
              </w:rPr>
              <w:t>Candidate motif nomination rule</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tcPr>
          <w:p>
            <w:pPr>
              <w:spacing w:after="0" w:line="259" w:lineRule="auto"/>
            </w:pPr>
            <w:r>
              <w:rPr>
                <w:rFonts w:ascii="Aptos" w:hAnsi="Aptos"/>
                <w:sz w:val="18"/>
              </w:rPr>
              <w:t>The nomination function merges enrichment, perturbation, and local spectrum metrics and applies thresholds for enrichment, stabilizing shift, and negative local real parts.</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tcPr>
          <w:p>
            <w:pPr>
              <w:spacing w:after="0" w:line="259" w:lineRule="auto"/>
            </w:pPr>
            <w:r>
              <w:rPr>
                <w:rFonts w:ascii="Aptos" w:hAnsi="Aptos"/>
                <w:sz w:val="18"/>
              </w:rPr>
              <w:t>A combined rule is useful because abundance alone does not imply functional importance; the filter prioritizes motifs that are enriched and dynamically plausible.</w:t>
            </w:r>
          </w:p>
        </w:tc>
      </w:tr>
    </w:tbl>
    <w:p/>
    <w:p>
      <w:pPr>
        <w:pStyle w:val="Heading1"/>
      </w:pPr>
      <w:r>
        <w:t>Current Findings From The Repository</w:t>
      </w:r>
    </w:p>
    <w:p>
      <w:pPr>
        <w:pStyle w:val="ListBullet"/>
      </w:pPr>
      <w:r>
        <w:t>The current motif counter identifies 120 two-edge motif classes and 157,872 ordered motif occurrences. The occurrence total reflects ordered permutations of node triples, so absolute counts should be interpreted as ordered motif instances rather than unique unordered triads.</w:t>
      </w:r>
    </w:p>
    <w:p>
      <w:pPr>
        <w:pStyle w:val="ListBullet"/>
      </w:pPr>
      <w:r>
        <w:t>Using the notebook's 100-shuffle null setting, the most enriched motif classes show very large z scores. The leading symmetric positive-edge motif classes have observed counts of 10,412 versus an expected count near 862.36 under the null model, with z scores near 55.46 and empirical p values of 0.0099.</w:t>
      </w:r>
    </w:p>
    <w:p>
      <w:pPr>
        <w:pStyle w:val="ListBullet"/>
      </w:pPr>
      <w:r>
        <w:t>Highly enriched inhibitory-edge motif classes also appear. Several leading negative-edge classes have observed counts between 8,148 and 8,714 with expected counts near 1,188.40 to 2,028.80 under the null model.</w:t>
      </w:r>
    </w:p>
    <w:p>
      <w:pPr>
        <w:pStyle w:val="ListBullet"/>
      </w:pPr>
      <w:r>
        <w:t>The largest negative eigenvalue shifts occur in motif classes involving paired positive edges among excitatory-labeled positions. The strongest shifts are approximately -8,868.61 in the current implementation.</w:t>
      </w:r>
    </w:p>
    <w:p>
      <w:pPr>
        <w:pStyle w:val="ListBullet"/>
      </w:pPr>
      <w:r>
        <w:t>The strict automated candidate nomination step currently returns no motifs, because no class simultaneously satisfies enrichment, perturbation, and local spectrum thresholds in the current run.</w:t>
      </w:r>
    </w:p>
    <w:p>
      <w:pPr>
        <w:pStyle w:val="Heading1"/>
      </w:pPr>
      <w:r>
        <w:t>Important Caveats To Resolve Before Final Submission</w:t>
      </w:r>
    </w:p>
    <w:p>
      <w:pPr>
        <w:pStyle w:val="ListBullet"/>
      </w:pPr>
      <w:r>
        <w:t>The saved notebook contains a stale NameError output even though the source cell now uses the corrected function call. Re-running the notebook from a clean kernel should be part of finalization.</w:t>
      </w:r>
    </w:p>
    <w:p>
      <w:pPr>
        <w:pStyle w:val="ListBullet"/>
      </w:pPr>
      <w:r>
        <w:t>Plotting functions are referenced in the notebook but are not defined in triad_utils.py, so the current outputs folder is empty. Either add the plotting helpers or remove plot calls before presenting a complete analysis.</w:t>
      </w:r>
    </w:p>
    <w:p>
      <w:pPr>
        <w:pStyle w:val="ListBullet"/>
      </w:pPr>
      <w:r>
        <w:t>E/I flags are inferred from the sign pattern of each matrix row, while the netlist also contains explicit E/I labels. The final method should state which label source is authoritative and use it consistently.</w:t>
      </w:r>
    </w:p>
    <w:p>
      <w:pPr>
        <w:pStyle w:val="ListBullet"/>
      </w:pPr>
      <w:r>
        <w:t>The degree-preserving null model preserves off-diagonal in-degree and out-degree but does not explicitly preserve region labels, E/I labels, or the full weight distribution by sign class. Those choices should be reviewed against the biological question.</w:t>
      </w:r>
    </w:p>
    <w:p>
      <w:pPr>
        <w:pStyle w:val="ListBullet"/>
      </w:pPr>
      <w:r>
        <w:t>The perturbation routine removes all edges among nodes in each matching motif occurrence, which can make shifts large and overlapping. A follow-up analysis could compare this with edge-level, occurrence-level, or weighted partial perturbations.</w:t>
      </w:r>
    </w:p>
    <w:p>
      <w:pPr>
        <w:pStyle w:val="ListBullet"/>
      </w:pPr>
      <w:r>
        <w:t>The empirical p-value resolution is limited by the number of shuffles. With 100 shuffles, the smallest possible p value is 1 divided by 101, or about 0.0099. More shuffles would support stronger statistical claims.</w:t>
      </w:r>
    </w:p>
    <w:p>
      <w:pPr>
        <w:pStyle w:val="Heading1"/>
      </w:pPr>
      <w:r>
        <w:t>Recommended Next Steps For Advisor Discussion</w:t>
      </w:r>
    </w:p>
    <w:p>
      <w:pPr>
        <w:pStyle w:val="ListBullet"/>
      </w:pPr>
      <w:r>
        <w:t>Confirm the biological interpretation of Mij sign, magnitude, and diagonal entries before deciding whether self-connections should remain part of any downstream stability analysis.</w:t>
      </w:r>
    </w:p>
    <w:p>
      <w:pPr>
        <w:pStyle w:val="ListBullet"/>
      </w:pPr>
      <w:r>
        <w:t>Decide whether motif counts should be reported as ordered instances, unique unordered triads, or both.</w:t>
      </w:r>
    </w:p>
    <w:p>
      <w:pPr>
        <w:pStyle w:val="ListBullet"/>
      </w:pPr>
      <w:r>
        <w:t>Choose the final null model: degree-preserving only, degree plus E/I preserving, region-aware, sign-preserving, or weight-stratified.</w:t>
      </w:r>
    </w:p>
    <w:p>
      <w:pPr>
        <w:pStyle w:val="ListBullet"/>
      </w:pPr>
      <w:r>
        <w:t>Increase the number of null shuffles for publication-quality enrichment statistics after the final null model is selected.</w:t>
      </w:r>
    </w:p>
    <w:p>
      <w:pPr>
        <w:pStyle w:val="ListBullet"/>
      </w:pPr>
      <w:r>
        <w:t>Add reproducible output tables and figures to the notebook, including motif-count summaries, enrichment-versus-perturbation plots, regional distributions, and candidate motif diagnostics.</w:t>
      </w:r>
    </w:p>
    <w:p>
      <w:pPr>
        <w:pStyle w:val="Heading1"/>
      </w:pPr>
      <w:r>
        <w:t>File Map</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shd w:fill="1F4E79"/>
          </w:tcPr>
          <w:p>
            <w:pPr>
              <w:spacing w:after="0" w:line="259" w:lineRule="auto"/>
            </w:pPr>
            <w:r>
              <w:rPr>
                <w:rFonts w:ascii="Aptos" w:hAnsi="Aptos"/>
                <w:b/>
                <w:color w:val="FFFFFF"/>
                <w:sz w:val="18"/>
              </w:rPr>
              <w:t>File or folder</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shd w:fill="1F4E79"/>
          </w:tcPr>
          <w:p>
            <w:pPr>
              <w:spacing w:after="0" w:line="259" w:lineRule="auto"/>
            </w:pPr>
            <w:r>
              <w:rPr>
                <w:rFonts w:ascii="Aptos" w:hAnsi="Aptos"/>
                <w:b/>
                <w:color w:val="FFFFFF"/>
                <w:sz w:val="18"/>
              </w:rPr>
              <w:t>Role in the project</w:t>
            </w:r>
          </w:p>
        </w:tc>
      </w:tr>
      <w:t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tcPr>
          <w:p>
            <w:pPr>
              <w:spacing w:after="0" w:line="259" w:lineRule="auto"/>
            </w:pPr>
            <w:r>
              <w:rPr>
                <w:rFonts w:ascii="Aptos" w:hAnsi="Aptos"/>
                <w:sz w:val="18"/>
              </w:rPr>
              <w:t>triad_modulation_analysis.ipynb</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tcPr>
          <w:p>
            <w:pPr>
              <w:spacing w:after="0" w:line="259" w:lineRule="auto"/>
            </w:pPr>
            <w:r>
              <w:rPr>
                <w:rFonts w:ascii="Aptos" w:hAnsi="Aptos"/>
                <w:sz w:val="18"/>
              </w:rPr>
              <w:t>Notebook that loads Mij data and orchestrates motif counting, enrichment, perturbation, regional grouping, Schur analysis, candidate nomination, and optional plots.</w:t>
            </w:r>
          </w:p>
        </w:tc>
      </w:tr>
      <w:t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shd w:fill="F4F7FA"/>
          </w:tcPr>
          <w:p>
            <w:pPr>
              <w:spacing w:after="0" w:line="259" w:lineRule="auto"/>
            </w:pPr>
            <w:r>
              <w:rPr>
                <w:rFonts w:ascii="Aptos" w:hAnsi="Aptos"/>
                <w:sz w:val="18"/>
              </w:rPr>
              <w:t>triad_utils.py</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shd w:fill="F4F7FA"/>
          </w:tcPr>
          <w:p>
            <w:pPr>
              <w:spacing w:after="0" w:line="259" w:lineRule="auto"/>
            </w:pPr>
            <w:r>
              <w:rPr>
                <w:rFonts w:ascii="Aptos" w:hAnsi="Aptos"/>
                <w:sz w:val="18"/>
              </w:rPr>
              <w:t>Reusable Python functions for two-edge triad motif counting and downstream statistical and spectral analyses.</w:t>
            </w:r>
          </w:p>
        </w:tc>
      </w:tr>
      <w:t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tcPr>
          <w:p>
            <w:pPr>
              <w:spacing w:after="0" w:line="259" w:lineRule="auto"/>
            </w:pPr>
            <w:r>
              <w:rPr>
                <w:rFonts w:ascii="Aptos" w:hAnsi="Aptos"/>
                <w:sz w:val="18"/>
              </w:rPr>
              <w:t>mij_matrix.csv</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tcPr>
          <w:p>
            <w:pPr>
              <w:spacing w:after="0" w:line="259" w:lineRule="auto"/>
            </w:pPr>
            <w:r>
              <w:rPr>
                <w:rFonts w:ascii="Aptos" w:hAnsi="Aptos"/>
                <w:sz w:val="18"/>
              </w:rPr>
              <w:t>Square directed weighted matrix used as the primary adjacency matrix for analysis.</w:t>
            </w:r>
          </w:p>
        </w:tc>
      </w:tr>
      <w:t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shd w:fill="F4F7FA"/>
          </w:tcPr>
          <w:p>
            <w:pPr>
              <w:spacing w:after="0" w:line="259" w:lineRule="auto"/>
            </w:pPr>
            <w:r>
              <w:rPr>
                <w:rFonts w:ascii="Aptos" w:hAnsi="Aptos"/>
                <w:sz w:val="18"/>
              </w:rPr>
              <w:t>mij_netlist.csv</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shd w:fill="F4F7FA"/>
          </w:tcPr>
          <w:p>
            <w:pPr>
              <w:spacing w:after="0" w:line="259" w:lineRule="auto"/>
            </w:pPr>
            <w:r>
              <w:rPr>
                <w:rFonts w:ascii="Aptos" w:hAnsi="Aptos"/>
                <w:sz w:val="18"/>
              </w:rPr>
              <w:t>Long-form directed connection list with neuron labels, E/I labels, weights, kappa terms, and Mij values.</w:t>
            </w:r>
          </w:p>
        </w:tc>
      </w:tr>
      <w:t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tcPr>
          <w:p>
            <w:pPr>
              <w:spacing w:after="0" w:line="259" w:lineRule="auto"/>
            </w:pPr>
            <w:r>
              <w:rPr>
                <w:rFonts w:ascii="Aptos" w:hAnsi="Aptos"/>
                <w:sz w:val="18"/>
              </w:rPr>
              <w:t>paramsfile08-18-2026_23_07_30.zip</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tcPr>
          <w:p>
            <w:pPr>
              <w:spacing w:after="0" w:line="259" w:lineRule="auto"/>
            </w:pPr>
            <w:r>
              <w:rPr>
                <w:rFonts w:ascii="Aptos" w:hAnsi="Aptos"/>
                <w:sz w:val="18"/>
              </w:rPr>
              <w:t>Source archive containing connection-parameter and neuron-parameter CSV exports.</w:t>
            </w:r>
          </w:p>
        </w:tc>
      </w:tr>
      <w:t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shd w:fill="F4F7FA"/>
          </w:tcPr>
          <w:p>
            <w:pPr>
              <w:spacing w:after="0" w:line="259" w:lineRule="auto"/>
            </w:pPr>
            <w:r>
              <w:rPr>
                <w:rFonts w:ascii="Aptos" w:hAnsi="Aptos"/>
                <w:sz w:val="18"/>
              </w:rPr>
              <w:t>Ephys Matrix.pdf</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shd w:fill="F4F7FA"/>
          </w:tcPr>
          <w:p>
            <w:pPr>
              <w:spacing w:after="0" w:line="259" w:lineRule="auto"/>
            </w:pPr>
            <w:r>
              <w:rPr>
                <w:rFonts w:ascii="Aptos" w:hAnsi="Aptos"/>
                <w:sz w:val="18"/>
              </w:rPr>
              <w:t>Reference PDF associated with the electrophysiological matrix or source matrix documentation.</w:t>
            </w:r>
          </w:p>
        </w:tc>
      </w:tr>
      <w:t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tcPr>
          <w:p>
            <w:pPr>
              <w:spacing w:after="0" w:line="259" w:lineRule="auto"/>
            </w:pPr>
            <w:r>
              <w:rPr>
                <w:rFonts w:ascii="Aptos" w:hAnsi="Aptos"/>
                <w:sz w:val="18"/>
              </w:rPr>
              <w:t>outputs/triad_modulation_analysis</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vAlign w:val="center"/>
          </w:tcPr>
          <w:p>
            <w:pPr>
              <w:spacing w:after="0" w:line="259" w:lineRule="auto"/>
            </w:pPr>
            <w:r>
              <w:rPr>
                <w:rFonts w:ascii="Aptos" w:hAnsi="Aptos"/>
                <w:sz w:val="18"/>
              </w:rPr>
              <w:t>Intended output location for generated plots and tables; currently present but empty.</w:t>
            </w:r>
          </w:p>
        </w:tc>
      </w:tr>
    </w:tbl>
    <w:p/>
    <w:p>
      <w:pPr>
        <w:pStyle w:val="Heading2"/>
      </w:pPr>
      <w:r>
        <w:t>Suggested Submission Note</w:t>
      </w:r>
    </w:p>
    <w:p>
      <w:r>
        <w:t>I am sharing this as a methods summary for the current motif_analysis project. The main feedback I would like is on the biological interpretation of the motif definitions, the most appropriate null model, and whether the stability analysis should use whole-class perturbations or a more local perturbation design.</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w:hAnsi="Aptos"/>
      <w:b w:val="0"/>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Aptos" w:hAnsi="Aptos"/>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Motif Analysis Project Methods Summary</dc:title>
  <dc:subject>Advisor review memo for motif_analysis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