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HPB-AI Lookup Lists Reference</w:t>
      </w:r>
    </w:p>
    <w:p>
      <w:pPr>
        <w:spacing w:after="300"/>
      </w:pPr>
      <w:r>
        <w:rPr>
          <w:i/>
          <w:iCs/>
          <w:sz w:val="22"/>
          <w:szCs w:val="22"/>
        </w:rPr>
        <w:t xml:space="preserve">What each list in HPB_Templates means, where it is actually used in the registry application, and which clinician-facing support document backs it (as of August 2026)</w:t>
      </w:r>
    </w:p>
    <w:p>
      <w:pPr>
        <w:pStyle w:val="Heading2"/>
        <w:spacing w:after="100" w:before="300"/>
      </w:pPr>
      <w:r>
        <w:t xml:space="preserve">About this document</w:t>
      </w:r>
    </w:p>
    <w:p>
      <w:pPr>
        <w:spacing w:after="150"/>
      </w:pPr>
      <w:r>
        <w:rPr>
          <w:b w:val="false"/>
          <w:bCs w:val="false"/>
          <w:i w:val="false"/>
          <w:iCs w:val="false"/>
        </w:rPr>
        <w:t xml:space="preserve">This document covers every file in deploy_HPB/HPB_Templates — the Excel “lookup list” templates used to populate the HPB registry's reference data (things like diagnosis types, biopsy types, staging values, and so on). For each one it gives a plain-language description of what the list means, and states where that list is actually connected in the Spring Boot application (11.-HPB) today, not just where it was intended to be used.</w:t>
      </w:r>
    </w:p>
    <w:p>
      <w:pPr>
        <w:spacing w:after="150"/>
      </w:pPr>
      <w:r>
        <w:rPr>
          <w:b w:val="false"/>
          <w:bCs w:val="false"/>
          <w:i w:val="false"/>
          <w:iCs w:val="false"/>
        </w:rPr>
        <w:t xml:space="preserve">Coverage was built from three sources, cross-checked against each other: the content of each Excel file itself (column headers and sample rows); the “Import documentation” files in the same folder, which describe the intended import plan; and a direct read of the application's Java source code (entities, and which ones are actually referenced as a foreign key from a clinical event or sub-event table, as opposed to a leftover unused import). Where the code and the documentation disagreed, the code was treated as the source of truth, and the discrepancy is called out.</w:t>
      </w:r>
    </w:p>
    <w:p>
      <w:pPr>
        <w:spacing w:after="200"/>
      </w:pPr>
      <w:r>
        <w:rPr>
          <w:b w:val="false"/>
          <w:bCs w:val="false"/>
          <w:i w:val="false"/>
          <w:iCs w:val="false"/>
        </w:rPr>
        <w:t xml:space="preserve">A colour code marks the current status of each list — see the key below. Several lists turned out to exist as fully functional, importable reference tables that are not yet wired into any clinical form; these are flagged rather than omitted, since “not used yet” is exactly the kind of thing this document is meant to surface.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DDEBF7" w:color="auto" w:val="clear"/>
            <w:tcMar>
              <w:top w:type="dxa" w:w="80"/>
              <w:left w:type="dxa" w:w="100"/>
              <w:bottom w:type="dxa" w:w="80"/>
              <w:right w:type="dxa" w:w="100"/>
            </w:tcMar>
            <w:vAlign w:val="top"/>
          </w:tcPr>
          <w:p>
            <w:pPr>
              <w:jc w:val="left"/>
            </w:pPr>
            <w:r>
              <w:rPr>
                <w:b w:val="false"/>
                <w:bCs w:val="false"/>
                <w:i w:val="false"/>
                <w:iCs w:val="false"/>
                <w:sz w:val="18"/>
                <w:szCs w:val="18"/>
              </w:rPr>
              <w:t xml:space="preserve"/>
            </w:r>
          </w:p>
        </w:tc>
        <w:tc>
          <w:tcPr>
            <w:tcW w:type="dxa" w:w="8650"/>
            <w:tcMar>
              <w:top w:type="dxa" w:w="80"/>
              <w:left w:type="dxa" w:w="100"/>
              <w:bottom w:type="dxa" w:w="80"/>
              <w:right w:type="dxa" w:w="100"/>
            </w:tcMar>
            <w:vAlign w:val="top"/>
          </w:tcPr>
          <w:p>
            <w:pPr>
              <w:jc w:val="left"/>
            </w:pPr>
            <w:r>
              <w:rPr>
                <w:b w:val="false"/>
                <w:bCs w:val="false"/>
                <w:i w:val="false"/>
                <w:iCs w:val="false"/>
                <w:sz w:val="18"/>
                <w:szCs w:val="18"/>
              </w:rPr>
              <w:t xml:space="preserve">Wired into a clinical data-entry form (the lookup is a real foreign key on a clinical event/sub-event table)</w:t>
            </w:r>
          </w:p>
        </w:tc>
      </w:tr>
      <w:tr>
        <w:tc>
          <w:tcPr>
            <w:tcW w:type="dxa" w:w="700"/>
            <w:shd w:fill="E2EFDA" w:color="auto" w:val="clear"/>
            <w:tcMar>
              <w:top w:type="dxa" w:w="80"/>
              <w:left w:type="dxa" w:w="100"/>
              <w:bottom w:type="dxa" w:w="80"/>
              <w:right w:type="dxa" w:w="100"/>
            </w:tcMar>
            <w:vAlign w:val="top"/>
          </w:tcPr>
          <w:p>
            <w:pPr>
              <w:jc w:val="left"/>
            </w:pPr>
            <w:r>
              <w:rPr>
                <w:b w:val="false"/>
                <w:bCs w:val="false"/>
                <w:i w:val="false"/>
                <w:iCs w:val="false"/>
                <w:sz w:val="18"/>
                <w:szCs w:val="18"/>
              </w:rPr>
              <w:t xml:space="preserve"/>
            </w:r>
          </w:p>
        </w:tc>
        <w:tc>
          <w:tcPr>
            <w:tcW w:type="dxa" w:w="8650"/>
            <w:tcMar>
              <w:top w:type="dxa" w:w="80"/>
              <w:left w:type="dxa" w:w="100"/>
              <w:bottom w:type="dxa" w:w="80"/>
              <w:right w:type="dxa" w:w="100"/>
            </w:tcMar>
            <w:vAlign w:val="top"/>
          </w:tcPr>
          <w:p>
            <w:pPr>
              <w:jc w:val="left"/>
            </w:pPr>
            <w:r>
              <w:rPr>
                <w:b w:val="false"/>
                <w:bCs w:val="false"/>
                <w:i w:val="false"/>
                <w:iCs w:val="false"/>
                <w:sz w:val="18"/>
                <w:szCs w:val="18"/>
              </w:rPr>
              <w:t xml:space="preserve">Exists as a maintainable reference/admin list and is used, but not as a field on a clinical event (e.g. attached to Patient, User, or Help Documents)</w:t>
            </w:r>
          </w:p>
        </w:tc>
      </w:tr>
      <w:tr>
        <w:tc>
          <w:tcPr>
            <w:tcW w:type="dxa" w:w="700"/>
            <w:shd w:fill="FFF2CC" w:color="auto" w:val="clear"/>
            <w:tcMar>
              <w:top w:type="dxa" w:w="80"/>
              <w:left w:type="dxa" w:w="100"/>
              <w:bottom w:type="dxa" w:w="80"/>
              <w:right w:type="dxa" w:w="100"/>
            </w:tcMar>
            <w:vAlign w:val="top"/>
          </w:tcPr>
          <w:p>
            <w:pPr>
              <w:jc w:val="left"/>
            </w:pPr>
            <w:r>
              <w:rPr>
                <w:b w:val="false"/>
                <w:bCs w:val="false"/>
                <w:i w:val="false"/>
                <w:iCs w:val="false"/>
                <w:sz w:val="18"/>
                <w:szCs w:val="18"/>
              </w:rPr>
              <w:t xml:space="preserve"/>
            </w:r>
          </w:p>
        </w:tc>
        <w:tc>
          <w:tcPr>
            <w:tcW w:type="dxa" w:w="8650"/>
            <w:tcMar>
              <w:top w:type="dxa" w:w="80"/>
              <w:left w:type="dxa" w:w="100"/>
              <w:bottom w:type="dxa" w:w="80"/>
              <w:right w:type="dxa" w:w="100"/>
            </w:tcMar>
            <w:vAlign w:val="top"/>
          </w:tcPr>
          <w:p>
            <w:pPr>
              <w:jc w:val="left"/>
            </w:pPr>
            <w:r>
              <w:rPr>
                <w:b w:val="false"/>
                <w:bCs w:val="false"/>
                <w:i w:val="false"/>
                <w:iCs w:val="false"/>
                <w:sz w:val="18"/>
                <w:szCs w:val="18"/>
              </w:rPr>
              <w:t xml:space="preserve">Has its own management screen and API, and contains real data, but is not currently linked to any clinical field — a leftover import in the code references it, but no data flows through it yet</w:t>
            </w:r>
          </w:p>
        </w:tc>
      </w:tr>
      <w:tr>
        <w:tc>
          <w:tcPr>
            <w:tcW w:type="dxa" w:w="700"/>
            <w:shd w:fill="FCE4D6" w:color="auto" w:val="clear"/>
            <w:tcMar>
              <w:top w:type="dxa" w:w="80"/>
              <w:left w:type="dxa" w:w="100"/>
              <w:bottom w:type="dxa" w:w="80"/>
              <w:right w:type="dxa" w:w="100"/>
            </w:tcMar>
            <w:vAlign w:val="top"/>
          </w:tcPr>
          <w:p>
            <w:pPr>
              <w:jc w:val="left"/>
            </w:pPr>
            <w:r>
              <w:rPr>
                <w:b w:val="false"/>
                <w:bCs w:val="false"/>
                <w:i w:val="false"/>
                <w:iCs w:val="false"/>
                <w:sz w:val="18"/>
                <w:szCs w:val="18"/>
              </w:rPr>
              <w:t xml:space="preserve"/>
            </w:r>
          </w:p>
        </w:tc>
        <w:tc>
          <w:tcPr>
            <w:tcW w:type="dxa" w:w="8650"/>
            <w:tcMar>
              <w:top w:type="dxa" w:w="80"/>
              <w:left w:type="dxa" w:w="100"/>
              <w:bottom w:type="dxa" w:w="80"/>
              <w:right w:type="dxa" w:w="100"/>
            </w:tcMar>
            <w:vAlign w:val="top"/>
          </w:tcPr>
          <w:p>
            <w:pPr>
              <w:jc w:val="left"/>
            </w:pPr>
            <w:r>
              <w:rPr>
                <w:b w:val="false"/>
                <w:bCs w:val="false"/>
                <w:i w:val="false"/>
                <w:iCs w:val="false"/>
                <w:sz w:val="18"/>
                <w:szCs w:val="18"/>
              </w:rPr>
              <w:t xml:space="preserve">Superseded, duplicated, or replaced by another list in this folder — kept for history only</w:t>
            </w:r>
          </w:p>
        </w:tc>
      </w:tr>
      <w:tr>
        <w:tc>
          <w:tcPr>
            <w:tcW w:type="dxa" w:w="700"/>
            <w:shd w:fill="F8CBAD" w:color="auto" w:val="clear"/>
            <w:tcMar>
              <w:top w:type="dxa" w:w="80"/>
              <w:left w:type="dxa" w:w="100"/>
              <w:bottom w:type="dxa" w:w="80"/>
              <w:right w:type="dxa" w:w="100"/>
            </w:tcMar>
            <w:vAlign w:val="top"/>
          </w:tcPr>
          <w:p>
            <w:pPr>
              <w:jc w:val="left"/>
            </w:pPr>
            <w:r>
              <w:rPr>
                <w:b w:val="false"/>
                <w:bCs w:val="false"/>
                <w:i w:val="false"/>
                <w:iCs w:val="false"/>
                <w:sz w:val="18"/>
                <w:szCs w:val="18"/>
              </w:rPr>
              <w:t xml:space="preserve"/>
            </w:r>
          </w:p>
        </w:tc>
        <w:tc>
          <w:tcPr>
            <w:tcW w:type="dxa" w:w="8650"/>
            <w:tcMar>
              <w:top w:type="dxa" w:w="80"/>
              <w:left w:type="dxa" w:w="100"/>
              <w:bottom w:type="dxa" w:w="80"/>
              <w:right w:type="dxa" w:w="100"/>
            </w:tcMar>
            <w:vAlign w:val="top"/>
          </w:tcPr>
          <w:p>
            <w:pPr>
              <w:jc w:val="left"/>
            </w:pPr>
            <w:r>
              <w:rPr>
                <w:b w:val="false"/>
                <w:bCs w:val="false"/>
                <w:i w:val="false"/>
                <w:iCs w:val="false"/>
                <w:sz w:val="18"/>
                <w:szCs w:val="18"/>
              </w:rPr>
              <w:t xml:space="preserve">No matching table/entity exists in the application code at all</w:t>
            </w:r>
          </w:p>
        </w:tc>
      </w:tr>
    </w:tbl>
    <w:p>
      <w:pPr>
        <w:spacing w:after="200"/>
      </w:pPr>
    </w:p>
    <w:p>
      <w:pPr>
        <w:spacing w:after="300"/>
      </w:pPr>
      <w:r>
        <w:rPr>
          <w:b w:val="false"/>
          <w:bCs w:val="false"/>
          <w:i/>
          <w:iCs/>
        </w:rPr>
        <w:t xml:space="preserve">A fifth column, “Support Doc”, was added in this revision: it names the clinician-facing support document (in /support_documents) that backs that list, where one exists — so users can find immediate guidance when choosing an item from the list. Support documents were reshaped from the existing example material and mapped to lists; a dash (—) means no support document exists yet for that list. See Section 12 for the current coverage picture.</w:t>
      </w:r>
    </w:p>
    <w:p>
      <w:pPr>
        <w:pStyle w:val="Heading1"/>
        <w:spacing w:after="150" w:before="400"/>
      </w:pPr>
      <w:r>
        <w:t xml:space="preserve">1. Patient Background — Medical &amp; Family History</w:t>
      </w:r>
    </w:p>
    <w:p>
      <w:pPr>
        <w:spacing w:after="150"/>
      </w:pPr>
      <w:r>
        <w:rPr>
          <w:b w:val="false"/>
          <w:bCs w:val="false"/>
          <w:i w:val="false"/>
          <w:iCs w:val="false"/>
        </w:rPr>
        <w:t xml:space="preserve">These lists describe a patient's (or a relative's) pre-existing health background, captured under “Medical History” and “Family History.”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2200"/>
        <w:gridCol w:w="1000"/>
        <w:gridCol w:w="2400"/>
      </w:tblGrid>
      <w:tr>
        <w:trPr>
          <w:tblHeader/>
        </w:trPr>
        <w:tc>
          <w:tcPr>
            <w:tcW w:type="dxa" w:w="17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List (source file)</w:t>
            </w:r>
          </w:p>
        </w:tc>
        <w:tc>
          <w:tcPr>
            <w:tcW w:type="dxa" w:w="26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What it represents</w:t>
            </w:r>
          </w:p>
        </w:tc>
        <w:tc>
          <w:tcPr>
            <w:tcW w:type="dxa" w:w="22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Where it's used in the app</w:t>
            </w:r>
          </w:p>
        </w:tc>
        <w:tc>
          <w:tcPr>
            <w:tcW w:type="dxa" w:w="10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Status</w:t>
            </w:r>
          </w:p>
        </w:tc>
        <w:tc>
          <w:tcPr>
            <w:tcW w:type="dxa" w:w="24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Support Doc</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ClinicalDiagnostic_export.xlsx
(tbl_clinical_diagnosis)</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Named clinical diagnoses with ICD-10 codes (e.g. Type 2 diabetes, malignant neoplasm of pancreatic duct).</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Medical History → Clinical Diagnosis entries, and Family History → Clinical Diagnosis entries (which diagnosis a relative had).</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Diagnosis Codes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ChronicCondition_export.xlsx
(tbl_chronic_condition)</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Chronic conditions relevant to HPB cancer risk (chronic pancreatitis, primary sclerosing cholangitis, cirrhosis, etc.), with clinical rationale in the description.</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Medical History → Chronic Condition entries, and Family History → Chronic Condition entries.</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Chronic Condition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RiskFactors.xlsx
(tbl_risk_factor)</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56 lifestyle/clinical risk factors (chronic hepatitis B/C, cirrhosis, smoking, etc.), several carrying an ICD-10 code in the short description.</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Medical History → Risk Factor entries. The equivalent Family History → Risk Factor table exists in the schema but is not populated in current data.</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Risk Factor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RelativeType.xlsx
(tbl_relative_type)</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Family relationship categories (Mother, Father, Grandmother (maternal side), etc.).</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Family History entries — records which relative a diagnosis/condition/risk factor applies to.</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Relative Type Reference.docx</w:t>
            </w:r>
          </w:p>
        </w:tc>
      </w:tr>
    </w:tbl>
    <w:p>
      <w:pPr>
        <w:pStyle w:val="Heading1"/>
        <w:spacing w:after="150" w:before="400"/>
      </w:pPr>
      <w:r>
        <w:t xml:space="preserve">2. Patient Status &amp; Clinical Diagnosis Data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2200"/>
        <w:gridCol w:w="1000"/>
        <w:gridCol w:w="2400"/>
      </w:tblGrid>
      <w:tr>
        <w:trPr>
          <w:tblHeader/>
        </w:trPr>
        <w:tc>
          <w:tcPr>
            <w:tcW w:type="dxa" w:w="17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List (source file)</w:t>
            </w:r>
          </w:p>
        </w:tc>
        <w:tc>
          <w:tcPr>
            <w:tcW w:type="dxa" w:w="26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What it represents</w:t>
            </w:r>
          </w:p>
        </w:tc>
        <w:tc>
          <w:tcPr>
            <w:tcW w:type="dxa" w:w="22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Where it's used in the app</w:t>
            </w:r>
          </w:p>
        </w:tc>
        <w:tc>
          <w:tcPr>
            <w:tcW w:type="dxa" w:w="10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Status</w:t>
            </w:r>
          </w:p>
        </w:tc>
        <w:tc>
          <w:tcPr>
            <w:tcW w:type="dxa" w:w="24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Support Doc</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Status_Type.xlsx
(tbl_status_type)</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Category for a patient status update. ⚠ The file's own sample rows (Active / Chronic / Cause of Death) read like diagnosis-status labels, not patient life status — the live application data instead uses values like ‘Alive with disease’, ‘Deceased’, ‘No evidence of disease’. Worth confirming with the clinical team whether this file needs updating.</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Every patient Status entry (tbl_status), used to track how a patient is doing over time.</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Patient Status Type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DiagnosticType_export.xlsx
(tbl_diagnostic_type)</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The patient's actual HPB (or other) diagnosis, ICD-10 coded — liver cell carcinoma, cholangiocarcinoma, gallbladder adenocarcinoma, hepatoblastoma, etc., plus some non-cancer diagnoses (hepatitis B, MASLD/NAFLD).</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A patient's primary diagnosis record (tbl_diagnostic), and the Clinical Data form.</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Diagnosis Codes Reference.docx (cross-ref Cancer Location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Severity_Type_export.xlsx
(tbl_severity_type)</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CTCAE-style severity grading, Grade 1 (mild) through Grade 5, with the clinical implication of each grade.</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Diagnostic severity, Medical Assessment severity, the severity of a recorded Sign, and grading of therapy Adverse Reactions.</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Severity Grade Reference.docx</w:t>
            </w:r>
          </w:p>
        </w:tc>
      </w:tr>
    </w:tbl>
    <w:p>
      <w:pPr>
        <w:pStyle w:val="Heading1"/>
        <w:spacing w:after="150" w:before="400"/>
      </w:pPr>
      <w:r>
        <w:t xml:space="preserve">3. Medical Assessment (Clinic Visits)</w:t>
      </w:r>
    </w:p>
    <w:p>
      <w:pPr>
        <w:spacing w:after="150"/>
      </w:pPr>
      <w:r>
        <w:rPr>
          <w:b w:val="false"/>
          <w:bCs w:val="false"/>
          <w:i w:val="false"/>
          <w:iCs w:val="false"/>
        </w:rPr>
        <w:t xml:space="preserve">A “Medical Assessment” is one of the seven root clinical event types. These lists supply its dropdowns.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2200"/>
        <w:gridCol w:w="1000"/>
        <w:gridCol w:w="2400"/>
      </w:tblGrid>
      <w:tr>
        <w:trPr>
          <w:tblHeader/>
        </w:trPr>
        <w:tc>
          <w:tcPr>
            <w:tcW w:type="dxa" w:w="17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List (source file)</w:t>
            </w:r>
          </w:p>
        </w:tc>
        <w:tc>
          <w:tcPr>
            <w:tcW w:type="dxa" w:w="26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What it represents</w:t>
            </w:r>
          </w:p>
        </w:tc>
        <w:tc>
          <w:tcPr>
            <w:tcW w:type="dxa" w:w="22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Where it's used in the app</w:t>
            </w:r>
          </w:p>
        </w:tc>
        <w:tc>
          <w:tcPr>
            <w:tcW w:type="dxa" w:w="10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Status</w:t>
            </w:r>
          </w:p>
        </w:tc>
        <w:tc>
          <w:tcPr>
            <w:tcW w:type="dxa" w:w="24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Support Doc</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ConsultationType_export.xlsx
(tbl_consultation_type)</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Specialist roles involved in a consultation (Medical Oncologist, Surgical Oncologist, Radiation Oncologist, etc.).</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Medical Assessment event — which specialty the assessment was with.</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Consultation Type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Discipline_export.xlsx
(tbl_discipline)</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Hospital department / specialty area (Laboratory, Pathology, Radiology, …).</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Medical Assessment event, plus the Patient and User records (a patient's or staff member's associated department).</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Discipline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Grade_export.xlsx
(tbl_grade)</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ECOG/WHO performance-status scale (‘PS 0: Fully active’ through fully dependent).</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Medical Assessment (performance status), Adverse-Reaction grading, and reused on the Biopsy sub-event as its ‘tumor grade’ field — see the note in Section 5.</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Performance Status (ECOG)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Signs_export.xlsx
(tbl_signs)</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Objective clinical signs found on examination (Jaundice, Hepatomegaly, Splenomegaly, …), ICD-10 coded.</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Medical Assessment → Signs (linked with a Severity Type).</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Signs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Symptoms_export.xlsx
(tbl_symptoms)</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Patient-reported symptoms (Jaundice, right-upper-quadrant pain, epigastric pain, …), ICD-10 coded.</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Medical Assessment → Symptoms.</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Symptom Interpretation Guide.docx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Adverse_Reaction.xlsx
(tbl_adverse_reaction_definition)</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42 treatment-related adverse reactions (Anemia, Neutropenia, Thrombocytopenia, …) with management notes.</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Medical Assessment → Therapy → Adverse Reactions (paired with Grade and Severity Type for CTCAE-style grading).</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Adverse Reactions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Therapy.xlsx
(tbl_therapy)</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44 named treatments/regimens (Surgical Resection, Gemcitabine-based chemo, FOLFIRINOX, …).</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Medical Assessment → Therapies given during a visit.</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Systemic Therapy Guide.docx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Interventions_export.xlsx
(tbl_intervention)</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Interventions carried out (e.g. in response to a therapy or an adverse reaction) — hepatectomy, pancreatic resection, biliary surgery/reconstruction, etc.</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Medical Assessment → Therapy → Interventions.</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Surgical Procedures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Abdominal_Examination_export.xlsx,
Heart_Examination_export.xlsx,
Lung_Examination_export.xlsx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Three structured physical-exam checklists (e.g. inspection of surface/contour, auscultation of bowel sounds, heart auscultation, chest inspection, respiratory rate/rhythm).</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Each is its own checklist sub-form nested inside Medical Assessment (Abdominal / Heart / Lung Examination).</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Physical Examination Reference.docx</w:t>
            </w:r>
          </w:p>
        </w:tc>
      </w:tr>
    </w:tbl>
    <w:p>
      <w:pPr>
        <w:pStyle w:val="Heading1"/>
        <w:spacing w:after="150" w:before="400"/>
      </w:pPr>
      <w:r>
        <w:t xml:space="preserve">4. Pathology — Biopsy, Cytology &amp; Resection</w:t>
      </w:r>
    </w:p>
    <w:p>
      <w:pPr>
        <w:spacing w:after="150"/>
      </w:pPr>
      <w:r>
        <w:rPr>
          <w:b w:val="false"/>
          <w:bCs w:val="false"/>
          <w:i w:val="false"/>
          <w:iCs w:val="false"/>
        </w:rPr>
        <w:t xml:space="preserve">“Pathology” is a root event with three possible nested sub-events — Biopsy, Cytology, or Resection (a patient has at most one of the three). These lists supply the fields for whichever sub-event applies.</w:t>
      </w:r>
    </w:p>
    <w:p>
      <w:pPr>
        <w:pStyle w:val="Heading2"/>
        <w:spacing w:after="100" w:before="300"/>
      </w:pPr>
      <w:r>
        <w:t xml:space="preserve">4.1 Shared across Biopsy / Cytology / Resection / Radiology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2200"/>
        <w:gridCol w:w="1000"/>
        <w:gridCol w:w="2400"/>
      </w:tblGrid>
      <w:tr>
        <w:trPr>
          <w:tblHeader/>
        </w:trPr>
        <w:tc>
          <w:tcPr>
            <w:tcW w:type="dxa" w:w="17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List (source file)</w:t>
            </w:r>
          </w:p>
        </w:tc>
        <w:tc>
          <w:tcPr>
            <w:tcW w:type="dxa" w:w="26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What it represents</w:t>
            </w:r>
          </w:p>
        </w:tc>
        <w:tc>
          <w:tcPr>
            <w:tcW w:type="dxa" w:w="22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Where it's used in the app</w:t>
            </w:r>
          </w:p>
        </w:tc>
        <w:tc>
          <w:tcPr>
            <w:tcW w:type="dxa" w:w="10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Status</w:t>
            </w:r>
          </w:p>
        </w:tc>
        <w:tc>
          <w:tcPr>
            <w:tcW w:type="dxa" w:w="24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Support Doc</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Corporal Location_export.xlsx
(tbl_corporal_location)</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Anatomical sites relevant to HPB cancer — liver parenchyma, intrahepatic/extrahepatic bile ducts, etc.</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Biopsy, Cytology, Resection, Radiology, and Tissue Sampling — records the anatomical site involved.</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Corporal Location Reference.docx + Cancer Location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LocationType_export.xlsx
(tbl_location_type)</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The role of a location — Primary Tumor, Metastasis, Regional Lymph Node, etc.</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Biopsy, Cytology, Resection, and Radiology.</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Location Type Reference.docx</w:t>
            </w:r>
          </w:p>
        </w:tc>
      </w:tr>
    </w:tbl>
    <w:p>
      <w:pPr>
        <w:pStyle w:val="Heading2"/>
        <w:spacing w:after="100" w:before="300"/>
      </w:pPr>
      <w:r>
        <w:t xml:space="preserve">4.2 Biopsy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2200"/>
        <w:gridCol w:w="1000"/>
        <w:gridCol w:w="2400"/>
      </w:tblGrid>
      <w:tr>
        <w:trPr>
          <w:tblHeader/>
        </w:trPr>
        <w:tc>
          <w:tcPr>
            <w:tcW w:type="dxa" w:w="17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List (source file)</w:t>
            </w:r>
          </w:p>
        </w:tc>
        <w:tc>
          <w:tcPr>
            <w:tcW w:type="dxa" w:w="26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What it represents</w:t>
            </w:r>
          </w:p>
        </w:tc>
        <w:tc>
          <w:tcPr>
            <w:tcW w:type="dxa" w:w="22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Where it's used in the app</w:t>
            </w:r>
          </w:p>
        </w:tc>
        <w:tc>
          <w:tcPr>
            <w:tcW w:type="dxa" w:w="10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Status</w:t>
            </w:r>
          </w:p>
        </w:tc>
        <w:tc>
          <w:tcPr>
            <w:tcW w:type="dxa" w:w="24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Support Doc</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BiopsyType_export.xlsx
(tbl_biopsy_type)</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Biopsy technique (EUS-FNA, EUS-FNB, percutaneous FNA, etc.).</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Biopsy sub-event.</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Biopsy Type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HistologicalTumorTypeDefinition_export.xlsx
(tbl_histological_tumor_type_definition)</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Histological tumor type — HCC, cholangiocarcinoma, gallbladder adenocarcinoma, etc.</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Biopsy sub-event and Resection sub-event.</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(cross-ref) Cancer Location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HistologicalTumorSubTypeDefinition_export.xlsx
(tbl_histological_tumor_sub_type_definition)</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Finer-grained HCC/tumor subtypes (Steatohepatitic HCC, Clear Cell HCC, etc.).</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Has its own management screen and data, but the Biopsy, Cytology, Resection and Pathology tables all use HistologicalTumorTypeDefinition only — no code path currently reads this “sub-type” list.</w:t>
            </w:r>
          </w:p>
        </w:tc>
        <w:tc>
          <w:tcPr>
            <w:tcW w:type="dxa" w:w="1000"/>
            <w:shd w:fill="FFF2CC"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Not wired</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bl>
    <w:p>
      <w:pPr>
        <w:pStyle w:val="Heading2"/>
        <w:spacing w:after="100" w:before="300"/>
      </w:pPr>
      <w:r>
        <w:t xml:space="preserve">4.3 Cytology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2200"/>
        <w:gridCol w:w="1000"/>
        <w:gridCol w:w="2400"/>
      </w:tblGrid>
      <w:tr>
        <w:trPr>
          <w:tblHeader/>
        </w:trPr>
        <w:tc>
          <w:tcPr>
            <w:tcW w:type="dxa" w:w="17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List (source file)</w:t>
            </w:r>
          </w:p>
        </w:tc>
        <w:tc>
          <w:tcPr>
            <w:tcW w:type="dxa" w:w="26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What it represents</w:t>
            </w:r>
          </w:p>
        </w:tc>
        <w:tc>
          <w:tcPr>
            <w:tcW w:type="dxa" w:w="22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Where it's used in the app</w:t>
            </w:r>
          </w:p>
        </w:tc>
        <w:tc>
          <w:tcPr>
            <w:tcW w:type="dxa" w:w="10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Status</w:t>
            </w:r>
          </w:p>
        </w:tc>
        <w:tc>
          <w:tcPr>
            <w:tcW w:type="dxa" w:w="24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Support Doc</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Cytology_Type_export.xlsx
(tbl_cytology_type)</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Cytology sampling technique — FNA, EUS-FNA, Brush Cytology, etc.</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Cytology sub-event.</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Cytology Type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cytological_diagnosis_export.xlsx
(tbl_cytological_diagnosis)</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Cytology-specific diagnosis categories (PDAC cytology, well/poorly-differentiated adenocarcinoma, etc.).</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Cytology sub-event.</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Cytological Diagnosis Reference.docx</w:t>
            </w:r>
          </w:p>
        </w:tc>
      </w:tr>
    </w:tbl>
    <w:p>
      <w:pPr>
        <w:pStyle w:val="Heading2"/>
        <w:spacing w:after="100" w:before="300"/>
      </w:pPr>
      <w:r>
        <w:t xml:space="preserve">4.4 Resection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2200"/>
        <w:gridCol w:w="1000"/>
        <w:gridCol w:w="2400"/>
      </w:tblGrid>
      <w:tr>
        <w:trPr>
          <w:tblHeader/>
        </w:trPr>
        <w:tc>
          <w:tcPr>
            <w:tcW w:type="dxa" w:w="17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List (source file)</w:t>
            </w:r>
          </w:p>
        </w:tc>
        <w:tc>
          <w:tcPr>
            <w:tcW w:type="dxa" w:w="26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What it represents</w:t>
            </w:r>
          </w:p>
        </w:tc>
        <w:tc>
          <w:tcPr>
            <w:tcW w:type="dxa" w:w="22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Where it's used in the app</w:t>
            </w:r>
          </w:p>
        </w:tc>
        <w:tc>
          <w:tcPr>
            <w:tcW w:type="dxa" w:w="10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Status</w:t>
            </w:r>
          </w:p>
        </w:tc>
        <w:tc>
          <w:tcPr>
            <w:tcW w:type="dxa" w:w="24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Support Doc</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MainGradeDifferentiation.xlsx
(tbl_main_grade_of_differentiation)</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Tumor differentiation grade, G1 (well) – G3 (poorly differentiated).</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Resection sub-event.</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Tumor Differentiation Grade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SecondaryGradeDifferentiation.xlsx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A secondary/second-pattern differentiation grade, for tumors with a mixed histological pattern.</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Has its own management screen, but the Resection sub-event only has a field for the Main Grade — no secondary-grade field exists on it yet.</w:t>
            </w:r>
          </w:p>
        </w:tc>
        <w:tc>
          <w:tcPr>
            <w:tcW w:type="dxa" w:w="1000"/>
            <w:shd w:fill="FFF2CC"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Not wired</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TumorRegressionSystem_export.xlsx
(tbl_tumor_regression_system)</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Treatment-response grading after neoadjuvant therapy (Complete Response, Near Complete Response, Partial Response).</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Resection sub-event.</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Tumor Regression Grade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OrganList_Resection_Type_export.xlsx
— sheet “Organ Lists”
(tbl_organ_list)</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Organs eligible for resection (Liver, Bile duct, Gallbladder, …).</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Resection sub-event, and used to categorize each Resection Type below.</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Organ List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OrganList_Resection_Type_export.xlsx
— sheet “Resection Types”
(tbl_resection_type)</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Specific resection procedures per organ (e.g. bile duct resection with hepatectomy, hilar/Klatskin resection), with the margins expected for each.</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Resection sub-event, and the dedicated Resection Margin Form. This sheet is the real, current data for this table — see the flagged duplicate below.</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Surgical Procedures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ResectionType_export.xlsx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Same table as above (tbl_resection_type), but this file only contains placeholder rows (‘one’ / ‘two’ / organ ‘brain’, which isn't even an HPB organ).</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Superseded by the “Resection Types” sheet inside OrganList_Resection_Type_export.xlsx, which holds the real clinical content and is what the app's dedicated bulk-import tool is built for.</w:t>
            </w:r>
          </w:p>
        </w:tc>
        <w:tc>
          <w:tcPr>
            <w:tcW w:type="dxa" w:w="1000"/>
            <w:shd w:fill="FCE4D6"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Legacy</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AllowedValue_export.xlsx
+ PrimaryParameter_data_export_all.xlsx
(tbl_allowed_value, tbl_primary_parameter)</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The T/N/M tumor-staging values (TX, T0, Tis, T1a … / NX, N0, N1 … / M0, M1), each tagged with which parameter (T, N, or M) it belongs to.</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Resection sub-event — this is the live mechanism behind a resection's T, N and M stage. AllowedValue_export.xlsx alone only lists the T values; PrimaryParameter_data_export_all.xlsx has the complete T+N+M set correctly tagged, and matches the application's dedicated combined import tool.</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TNM Coding.docx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Description_T_export.xlsx,
Description_N_export.xlsx,
Description_M_export.xlsx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An earlier, parallel set of T/N/M staging tables, each with its own separate list.</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Each has its own entity, table and management screen (tbl_t / tbl_n / tbl_m), but the Resection sub-event's T/N/M fields all point to AllowedValue/PrimaryParameter instead — these three are not read anywhere in the code.</w:t>
            </w:r>
          </w:p>
        </w:tc>
        <w:tc>
          <w:tcPr>
            <w:tcW w:type="dxa" w:w="1000"/>
            <w:shd w:fill="FCE4D6"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Legacy</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TText_export.xlsx,
NText_export.xlsx,
MText_export.xlsx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Companion tables to the three above (also T/N/M related).</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Same status as Description_T/N/M above — not referenced anywhere in the code, and these three files also contain no actual data rows (empty templates).</w:t>
            </w:r>
          </w:p>
        </w:tc>
        <w:tc>
          <w:tcPr>
            <w:tcW w:type="dxa" w:w="1000"/>
            <w:shd w:fill="FCE4D6"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Legacy</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ResectionMarginDefinition_export.xlsx
(tbl_resection_margin_definition)</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R0 (negative) / R1 (microscopic positive) / R2 (macroscopic residual tumor) margin status definitions, with the clinical criteria for each.</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The Pathology finding record (tied to the overall pathology result, not the Resection sub-event directly).</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Resection Margin Definition.docx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Margin_export.xlsx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A different, anatomical concept: margin location rather than R-status — Parenchymal Margin, Vascular Margin, Capsular Margin.</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No matching table or entity exists anywhere in the application. There is no code path for this file at all.</w:t>
            </w:r>
          </w:p>
        </w:tc>
        <w:tc>
          <w:tcPr>
            <w:tcW w:type="dxa" w:w="1000"/>
            <w:shd w:fill="F8CBAD"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No backend</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Resection margins HPB.xlsx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A bilingual (Swedish/English) working reference — organ, resection type, and the specific margins to report for each — used to compile the resection-margin content above.</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This is source/reference material, not an import file itself; it has no corresponding table.</w:t>
            </w:r>
          </w:p>
        </w:tc>
        <w:tc>
          <w:tcPr>
            <w:tcW w:type="dxa" w:w="1000"/>
            <w:shd w:fill="FCE4D6"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Reference only</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ProbeType_export.xlsx
(tbl_probe_type)</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Sampling probe category — Biopsy, Cytology, or Resection specimen.</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Listed in the import plan under Pathology, and has its own management screen, but the Pathology event's Java code only carries an unused, leftover reference to it — no field actually stores a probe type.</w:t>
            </w:r>
          </w:p>
        </w:tc>
        <w:tc>
          <w:tcPr>
            <w:tcW w:type="dxa" w:w="1000"/>
            <w:shd w:fill="FFF2CC"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Not wired</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bl>
    <w:p>
      <w:pPr>
        <w:pStyle w:val="Heading2"/>
        <w:spacing w:after="100" w:before="300"/>
      </w:pPr>
      <w:r>
        <w:t xml:space="preserve">4.5 Ancillary / Molecular Testing on Pathology Specimens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2200"/>
        <w:gridCol w:w="1000"/>
        <w:gridCol w:w="2400"/>
      </w:tblGrid>
      <w:tr>
        <w:trPr>
          <w:tblHeader/>
        </w:trPr>
        <w:tc>
          <w:tcPr>
            <w:tcW w:type="dxa" w:w="17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List (source file)</w:t>
            </w:r>
          </w:p>
        </w:tc>
        <w:tc>
          <w:tcPr>
            <w:tcW w:type="dxa" w:w="26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What it represents</w:t>
            </w:r>
          </w:p>
        </w:tc>
        <w:tc>
          <w:tcPr>
            <w:tcW w:type="dxa" w:w="22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Where it's used in the app</w:t>
            </w:r>
          </w:p>
        </w:tc>
        <w:tc>
          <w:tcPr>
            <w:tcW w:type="dxa" w:w="10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Status</w:t>
            </w:r>
          </w:p>
        </w:tc>
        <w:tc>
          <w:tcPr>
            <w:tcW w:type="dxa" w:w="24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Support Doc</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MorphologicalAncillaryTestDefinition_export.xlsx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IHC/molecular marker panel definitions used to further characterize a specimen (Hep Par-1, Arginase-1, Glypican-3, etc.), with allowed result values.</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Has its own management screen and 40 real marker rows, but the ancillary-test-result table on a Pathology specimen stores the test name and result as free text rather than referencing this list — the structured link doesn't exist yet.</w:t>
            </w:r>
          </w:p>
        </w:tc>
        <w:tc>
          <w:tcPr>
            <w:tcW w:type="dxa" w:w="1000"/>
            <w:shd w:fill="FFF2CC"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Not wired</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Morphological Ancillary Test Reference.docx</w:t>
            </w:r>
          </w:p>
        </w:tc>
      </w:tr>
    </w:tbl>
    <w:p>
      <w:pPr>
        <w:pStyle w:val="Heading1"/>
        <w:spacing w:after="150" w:before="400"/>
      </w:pPr>
      <w:r>
        <w:t xml:space="preserve">5. Radiology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2200"/>
        <w:gridCol w:w="1000"/>
        <w:gridCol w:w="2400"/>
      </w:tblGrid>
      <w:tr>
        <w:trPr>
          <w:tblHeader/>
        </w:trPr>
        <w:tc>
          <w:tcPr>
            <w:tcW w:type="dxa" w:w="17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List (source file)</w:t>
            </w:r>
          </w:p>
        </w:tc>
        <w:tc>
          <w:tcPr>
            <w:tcW w:type="dxa" w:w="26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What it represents</w:t>
            </w:r>
          </w:p>
        </w:tc>
        <w:tc>
          <w:tcPr>
            <w:tcW w:type="dxa" w:w="22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Where it's used in the app</w:t>
            </w:r>
          </w:p>
        </w:tc>
        <w:tc>
          <w:tcPr>
            <w:tcW w:type="dxa" w:w="10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Status</w:t>
            </w:r>
          </w:p>
        </w:tc>
        <w:tc>
          <w:tcPr>
            <w:tcW w:type="dxa" w:w="24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Support Doc</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Radiological_Variable_export.xlsx
(tbl_radiological_variable_definition)</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Quantitative radiology measurements — tumor longest diameter, lymph node short axis, tumor volume, etc.</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Radiology event.</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Radiological Variable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OtherRadiologicalFindings_export.xlsx
(tbl_other_radiological_finding)</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Incidental/other radiology findings, ICD-10 coded (hepatic steatosis, cirrhosis, portal vein thrombosis, …).</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Radiology event.</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Other Radiological Findings Reference.docx</w:t>
            </w:r>
          </w:p>
        </w:tc>
      </w:tr>
    </w:tbl>
    <w:p>
      <w:pPr>
        <w:spacing w:after="150"/>
      </w:pPr>
      <w:r>
        <w:rPr>
          <w:b w:val="false"/>
          <w:bCs w:val="false"/>
          <w:i/>
          <w:iCs/>
        </w:rPr>
        <w:t xml:space="preserve">Corporal Location and Location Type (Section 4.1) apply to Radiology as well.</w:t>
      </w:r>
    </w:p>
    <w:p>
      <w:pPr>
        <w:pStyle w:val="Heading1"/>
        <w:spacing w:after="150" w:before="400"/>
      </w:pPr>
      <w:r>
        <w:t xml:space="preserve">6. Surgery</w:t>
      </w:r>
    </w:p>
    <w:p>
      <w:pPr>
        <w:spacing w:after="150"/>
      </w:pPr>
      <w:r>
        <w:rPr>
          <w:b w:val="false"/>
          <w:bCs w:val="false"/>
          <w:i w:val="false"/>
          <w:iCs w:val="false"/>
        </w:rPr>
        <w:t xml:space="preserve">The Surgery event itself (operation intent, surgical approach, R-status, blood loss, hospital-stay fields, etc.) is built entirely from free-text/string fields in the code — none of its fields are linked to a lookup list.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2200"/>
        <w:gridCol w:w="1000"/>
        <w:gridCol w:w="2400"/>
      </w:tblGrid>
      <w:tr>
        <w:trPr>
          <w:tblHeader/>
        </w:trPr>
        <w:tc>
          <w:tcPr>
            <w:tcW w:type="dxa" w:w="17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List (source file)</w:t>
            </w:r>
          </w:p>
        </w:tc>
        <w:tc>
          <w:tcPr>
            <w:tcW w:type="dxa" w:w="26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What it represents</w:t>
            </w:r>
          </w:p>
        </w:tc>
        <w:tc>
          <w:tcPr>
            <w:tcW w:type="dxa" w:w="22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Where it's used in the app</w:t>
            </w:r>
          </w:p>
        </w:tc>
        <w:tc>
          <w:tcPr>
            <w:tcW w:type="dxa" w:w="10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Status</w:t>
            </w:r>
          </w:p>
        </w:tc>
        <w:tc>
          <w:tcPr>
            <w:tcW w:type="dxa" w:w="24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Support Doc</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AnastomosisTechniqueDefinition_export.xlsx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Surgical anastomosis techniques — End-to-End, End-to-Side, Side-to-Side.</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Has its own management screen and real content, but is not referenced anywhere in the Surgery event or any other clinical table.</w:t>
            </w:r>
          </w:p>
        </w:tc>
        <w:tc>
          <w:tcPr>
            <w:tcW w:type="dxa" w:w="1000"/>
            <w:shd w:fill="FFF2CC"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Not wired</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AssociatedTreatment_export.xlsx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Broad treatment categories — None, Surgical Resection, Liver Transplantation, etc.</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Has its own management screen, but the only other place its name appears in the code is a leftover, non-functional import in the Adverse Reaction Definition source file — it isn't actually linked to anything.</w:t>
            </w:r>
          </w:p>
        </w:tc>
        <w:tc>
          <w:tcPr>
            <w:tcW w:type="dxa" w:w="1000"/>
            <w:shd w:fill="FFF2CC"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Not wired</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bl>
    <w:p>
      <w:pPr>
        <w:pStyle w:val="Heading1"/>
        <w:spacing w:after="150" w:before="400"/>
      </w:pPr>
      <w:r>
        <w:t xml:space="preserve">7. Systemic Therapy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2200"/>
        <w:gridCol w:w="1000"/>
        <w:gridCol w:w="2400"/>
      </w:tblGrid>
      <w:tr>
        <w:trPr>
          <w:tblHeader/>
        </w:trPr>
        <w:tc>
          <w:tcPr>
            <w:tcW w:type="dxa" w:w="17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List (source file)</w:t>
            </w:r>
          </w:p>
        </w:tc>
        <w:tc>
          <w:tcPr>
            <w:tcW w:type="dxa" w:w="26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What it represents</w:t>
            </w:r>
          </w:p>
        </w:tc>
        <w:tc>
          <w:tcPr>
            <w:tcW w:type="dxa" w:w="22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Where it's used in the app</w:t>
            </w:r>
          </w:p>
        </w:tc>
        <w:tc>
          <w:tcPr>
            <w:tcW w:type="dxa" w:w="10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Status</w:t>
            </w:r>
          </w:p>
        </w:tc>
        <w:tc>
          <w:tcPr>
            <w:tcW w:type="dxa" w:w="24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Support Doc</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SystemicTherapyDefinition_export.xlsx
(tbl_systemic_therapy_definition)</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44 named drugs/regimens — Gemcitabine, Cisplatin, Capecitabine, etc.</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Systemic Therapy event.</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Systemic Therapy Guide.docx</w:t>
            </w:r>
          </w:p>
        </w:tc>
      </w:tr>
    </w:tbl>
    <w:p>
      <w:pPr>
        <w:pStyle w:val="Heading1"/>
        <w:spacing w:after="150" w:before="400"/>
      </w:pPr>
      <w:r>
        <w:t xml:space="preserve">8. Lab Tests, Analysis &amp; Results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2200"/>
        <w:gridCol w:w="1000"/>
        <w:gridCol w:w="2400"/>
      </w:tblGrid>
      <w:tr>
        <w:trPr>
          <w:tblHeader/>
        </w:trPr>
        <w:tc>
          <w:tcPr>
            <w:tcW w:type="dxa" w:w="17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List (source file)</w:t>
            </w:r>
          </w:p>
        </w:tc>
        <w:tc>
          <w:tcPr>
            <w:tcW w:type="dxa" w:w="26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What it represents</w:t>
            </w:r>
          </w:p>
        </w:tc>
        <w:tc>
          <w:tcPr>
            <w:tcW w:type="dxa" w:w="22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Where it's used in the app</w:t>
            </w:r>
          </w:p>
        </w:tc>
        <w:tc>
          <w:tcPr>
            <w:tcW w:type="dxa" w:w="10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Status</w:t>
            </w:r>
          </w:p>
        </w:tc>
        <w:tc>
          <w:tcPr>
            <w:tcW w:type="dxa" w:w="24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Support Doc</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Technique_TestName_TestResult_TestUnit_export.xlsx
(4 sheets: tbl_technique, tbl_test_name, tbl_test_result, tbl_test_unit)</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The live lab-test catalogue: tumor markers and other analytes (CA 19-9, AFP, CEA, …), the assay technique for each, named result categories (Normal/Elevated/… scoped per test), and units with reference ranges.</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This is what the application's “Add Lab Test” screen actually writes to (tbl_test_form), for both standalone Lab Test events and tests attached to a Pathology specimen.</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(cross-ref) Lab Analysis Results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Technique_TestName_TestResult_TestUnit_export_bad.xlsx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Byte-for-byte identical to the current file above.</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Looks like an accidental duplicate or a leftover backup copy from before a fix — safe to delete once confirmed.</w:t>
            </w:r>
          </w:p>
        </w:tc>
        <w:tc>
          <w:tcPr>
            <w:tcW w:type="dxa" w:w="1000"/>
            <w:shd w:fill="FCE4D6"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Legacy</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Technique_TestName_TestResult_TestUnit_export-old.xlsx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An earlier, much smaller draft (12 generic liver-surgery techniques such as the Pringle Maneuver, rather than tumor-marker assays).</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Superseded by the current file.</w:t>
            </w:r>
          </w:p>
        </w:tc>
        <w:tc>
          <w:tcPr>
            <w:tcW w:type="dxa" w:w="1000"/>
            <w:shd w:fill="FCE4D6"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Legacy</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LabTestDefinition_export.xlsx
(tbl_lab_test_definition)</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An earlier lab-test catalogue (ALT, AST, ALP, …), tied to a separate tbl_lab_test_result table.</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Still has its own management screen, but per the application's own internal documentation this table is frequently empty in real use — the actual Add-Lab-Test workflow goes through the Technique/TestName/TestResult/TestUnit tables above instead.</w:t>
            </w:r>
          </w:p>
        </w:tc>
        <w:tc>
          <w:tcPr>
            <w:tcW w:type="dxa" w:w="1000"/>
            <w:shd w:fill="FCE4D6"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Legacy</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Lab Analysis Results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AnalysisType_export.xlsx
(tbl_analysis_type)</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Molecular analysis methods — whole-genome sequencing, whole-exome sequencing, targeted gene-panel sequencing, etc.</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The Analysis entity (results workflow), together with Result Type below.</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Molecular Analysis Type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ResultType_export.xlsx
(tbl_result_type)</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Low / Normal / High result classification.</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The Result entity.</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Result Type Reference.docx</w:t>
            </w:r>
          </w:p>
        </w:tc>
      </w:tr>
    </w:tbl>
    <w:p>
      <w:pPr>
        <w:pStyle w:val="Heading1"/>
        <w:spacing w:after="150" w:before="400"/>
      </w:pPr>
      <w:r>
        <w:t xml:space="preserve">9. Blood &amp; Tissue Sampling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2200"/>
        <w:gridCol w:w="1000"/>
        <w:gridCol w:w="2400"/>
      </w:tblGrid>
      <w:tr>
        <w:trPr>
          <w:tblHeader/>
        </w:trPr>
        <w:tc>
          <w:tcPr>
            <w:tcW w:type="dxa" w:w="17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List (source file)</w:t>
            </w:r>
          </w:p>
        </w:tc>
        <w:tc>
          <w:tcPr>
            <w:tcW w:type="dxa" w:w="26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What it represents</w:t>
            </w:r>
          </w:p>
        </w:tc>
        <w:tc>
          <w:tcPr>
            <w:tcW w:type="dxa" w:w="22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Where it's used in the app</w:t>
            </w:r>
          </w:p>
        </w:tc>
        <w:tc>
          <w:tcPr>
            <w:tcW w:type="dxa" w:w="10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Status</w:t>
            </w:r>
          </w:p>
        </w:tc>
        <w:tc>
          <w:tcPr>
            <w:tcW w:type="dxa" w:w="24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Support Doc</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Sample_Type_export.xlsx
(tbl_sample_type)</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Sample category — solid tumour tissue, cytology/fluid, blood/liquid biopsy.</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The Sample entity.</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Sample Type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BloodSampleProcessDefinition_export.xlsx
(tbl_blood_sample_process_definition)</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Blood-sample processing method (mononuclear cell isolation, cell-free DNA, PBMCs, …). ⚠ The file's own name/description pairs look scrambled — e.g. row 1 is named ‘Mononuclear Cell Isolation’ but its description text says ‘this describes Mononuclear Cell Isolation, not cfDNA’, and row 2's description says ‘mismatched — looks unrelated’ in the source data itself. Recommend a clinical review before relying on this file's content.</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Blood Sampling event.</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Blood Sample Process Reference.docx (data-quality flag repeated inside)</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bloodSampleTubeTypeDefinition_export.xlsx
(tbl_blood_sample_tube_type_definition)</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Blood collection tube type (Heparin Tube, Lithium Heparin Tube, …). Note: the “Import documentation” file in this folder lists this same filename for both the Tube Type list and the Process Definition list above — that looks like a copy-paste mistake in the documentation, not in the data itself.</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Blood Sampling event.</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Blood Sample Tube Type Reference.docx (data-quality flag repeated inside)</w:t>
            </w:r>
          </w:p>
        </w:tc>
      </w:tr>
    </w:tbl>
    <w:p>
      <w:pPr>
        <w:spacing w:after="150"/>
      </w:pPr>
      <w:r>
        <w:rPr>
          <w:b w:val="false"/>
          <w:bCs w:val="false"/>
          <w:i w:val="false"/>
          <w:iCs w:val="false"/>
        </w:rPr>
        <w:t xml:space="preserve">The application also has working, referenced lookup tables for Extraction Method (used on the Sample entity) and Tissue Sample Process Definition (used on the Tissue Sampling event, together with Corporal Location) — both are wired into the app, but this folder does not currently contain an Excel template for either of them. It also defines Tissue Sample NGS Panel and Tube Type tables with their own management screens, but neither is referenced anywhere in the code yet, and again no template for either exists in this folder.</w:t>
      </w:r>
    </w:p>
    <w:p>
      <w:pPr>
        <w:pStyle w:val="Heading1"/>
        <w:spacing w:after="150" w:before="400"/>
      </w:pPr>
      <w:r>
        <w:t xml:space="preserve">10. Event Framework &amp; Administrative Reference Data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2200"/>
        <w:gridCol w:w="1000"/>
        <w:gridCol w:w="2400"/>
      </w:tblGrid>
      <w:tr>
        <w:trPr>
          <w:tblHeader/>
        </w:trPr>
        <w:tc>
          <w:tcPr>
            <w:tcW w:type="dxa" w:w="17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List (source file)</w:t>
            </w:r>
          </w:p>
        </w:tc>
        <w:tc>
          <w:tcPr>
            <w:tcW w:type="dxa" w:w="26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What it represents</w:t>
            </w:r>
          </w:p>
        </w:tc>
        <w:tc>
          <w:tcPr>
            <w:tcW w:type="dxa" w:w="22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Where it's used in the app</w:t>
            </w:r>
          </w:p>
        </w:tc>
        <w:tc>
          <w:tcPr>
            <w:tcW w:type="dxa" w:w="10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Status</w:t>
            </w:r>
          </w:p>
        </w:tc>
        <w:tc>
          <w:tcPr>
            <w:tcW w:type="dxa" w:w="24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Support Doc</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Event_Type_export.xlsx
(tbl_event_type)</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The seven clinical event categories — Medical Assessment, Radiology, Lab Test, Pathology, Surgery, Systemic Therapy, Sampling.</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Every root clinical event record is tagged with one of these, on tbl_root_event.</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Event Type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Organization_export.xlsx
(tbl_organization)</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Treating hospital/institution (Karolinska University Hospital, Skåne University Hospital, …).</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Patient and User records.</w:t>
            </w:r>
          </w:p>
        </w:tc>
        <w:tc>
          <w:tcPr>
            <w:tcW w:type="dxa" w:w="1000"/>
            <w:shd w:fill="DDEBF7"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Active</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Organization Reference.docx</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Protocol_template.xlsx
(tbl_protocol)</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Swedish national standardized cancer-care pathways (SVF) for pancreatic, liver, and biliary/gallbladder cancer, with lead-time targets.</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Listed in the import plan as attached to clinical Events, and has its own management screen, but the Root Event's Java code only carries an unused, leftover reference to it — no field currently stores a protocol.</w:t>
            </w:r>
          </w:p>
        </w:tc>
        <w:tc>
          <w:tcPr>
            <w:tcW w:type="dxa" w:w="1000"/>
            <w:shd w:fill="FFF2CC"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Not wired</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CodingSystemVersion_export.xlsx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Intended as a registry of coding systems and their versions, but the file's actual sample content (Diabetes Mellitus, Hypertension, COPD) reads like a list of conditions, not coding systems.</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No matching table or entity exists anywhere in the application — this was on the original import plan but was never built.</w:t>
            </w:r>
          </w:p>
        </w:tc>
        <w:tc>
          <w:tcPr>
            <w:tcW w:type="dxa" w:w="1000"/>
            <w:shd w:fill="F8CBAD"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No backend</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ClinicalVariable_export.xlsx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Structured clinical scoring variables — ECOG/WHO Performance Status, Charlson Comorbidity Index, Child-Pugh Score, with their allowed value ranges.</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Has its own management screen and data, but is not referenced by any clinical event or form yet.</w:t>
            </w:r>
          </w:p>
        </w:tc>
        <w:tc>
          <w:tcPr>
            <w:tcW w:type="dxa" w:w="1000"/>
            <w:shd w:fill="FFF2CC"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Not wired</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OrganSystem_export.xlsx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Broad organ-system categories — Bile Ducts, GI Tract, Liver, etc.</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Has its own management screen, but the only other place its name appears is a leftover, non-functional import in the Adverse Reaction Definition source file.</w:t>
            </w:r>
          </w:p>
        </w:tc>
        <w:tc>
          <w:tcPr>
            <w:tcW w:type="dxa" w:w="1000"/>
            <w:shd w:fill="FFF2CC"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Not wired</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OtherHistoricalFindingDefinition_export.xlsx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Past-history findings with SNOMED/ICD codes (history of tobacco smoking, personal history of breast cancer, history of type 2 diabetes, …).</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Has its own management screen and real content, but is not referenced by Medical History, Family History, or any other clinical table.</w:t>
            </w:r>
          </w:p>
        </w:tc>
        <w:tc>
          <w:tcPr>
            <w:tcW w:type="dxa" w:w="1000"/>
            <w:shd w:fill="FFF2CC"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Not wired</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PostOperativeComplication_export.xlsx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Post-operative complications with management notes (postoperative pancreatic fistula, delayed gastric emptying, postpancreatectomy hemorrhage, …).</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Has its own management screen and real content, but the Surgery event's fields are all free text and don't reference this list.</w:t>
            </w:r>
          </w:p>
        </w:tc>
        <w:tc>
          <w:tcPr>
            <w:tcW w:type="dxa" w:w="1000"/>
            <w:shd w:fill="FFF2CC"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Not wired</w:t>
            </w:r>
          </w:p>
        </w:tc>
        <w:tc>
          <w:tcPr>
            <w:tcW w:type="dxa" w:w="2400"/>
            <w:tcMar>
              <w:top w:type="dxa" w:w="80"/>
              <w:left w:type="dxa" w:w="100"/>
              <w:bottom w:type="dxa" w:w="80"/>
              <w:right w:type="dxa" w:w="100"/>
            </w:tcMar>
            <w:vAlign w:val="top"/>
          </w:tcPr>
          <w:p>
            <w:pPr>
              <w:jc w:val="left"/>
            </w:pPr>
            <w:r>
              <w:rPr>
                <w:b/>
                <w:bCs/>
                <w:i w:val="false"/>
                <w:iCs w:val="false"/>
                <w:sz w:val="18"/>
                <w:szCs w:val="18"/>
              </w:rPr>
              <w:t xml:space="preserve">Post Operative Complications Reference.docx</w:t>
            </w:r>
          </w:p>
        </w:tc>
      </w:tr>
    </w:tbl>
    <w:p>
      <w:pPr>
        <w:pStyle w:val="Heading1"/>
        <w:spacing w:after="150" w:before="400"/>
      </w:pPr>
      <w:r>
        <w:t xml:space="preserve">11. Non-list files in this folder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2200"/>
        <w:gridCol w:w="1000"/>
        <w:gridCol w:w="2400"/>
      </w:tblGrid>
      <w:tr>
        <w:trPr>
          <w:tblHeader/>
        </w:trPr>
        <w:tc>
          <w:tcPr>
            <w:tcW w:type="dxa" w:w="17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List (source file)</w:t>
            </w:r>
          </w:p>
        </w:tc>
        <w:tc>
          <w:tcPr>
            <w:tcW w:type="dxa" w:w="265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What it represents</w:t>
            </w:r>
          </w:p>
        </w:tc>
        <w:tc>
          <w:tcPr>
            <w:tcW w:type="dxa" w:w="22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Where it's used in the app</w:t>
            </w:r>
          </w:p>
        </w:tc>
        <w:tc>
          <w:tcPr>
            <w:tcW w:type="dxa" w:w="10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Status</w:t>
            </w:r>
          </w:p>
        </w:tc>
        <w:tc>
          <w:tcPr>
            <w:tcW w:type="dxa" w:w="2400"/>
            <w:shd w:fill="44546A" w:color="auto" w:val="clear"/>
            <w:tcMar>
              <w:top w:type="dxa" w:w="80"/>
              <w:left w:type="dxa" w:w="100"/>
              <w:bottom w:type="dxa" w:w="80"/>
              <w:right w:type="dxa" w:w="100"/>
            </w:tcMar>
            <w:vAlign w:val="top"/>
          </w:tcPr>
          <w:p>
            <w:pPr>
              <w:jc w:val="left"/>
            </w:pPr>
            <w:r>
              <w:rPr>
                <w:b/>
                <w:bCs/>
                <w:i w:val="false"/>
                <w:iCs w:val="false"/>
                <w:color w:val="FFFFFF"/>
                <w:sz w:val="18"/>
                <w:szCs w:val="18"/>
              </w:rPr>
              <w:t xml:space="preserve">Support Doc</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Import documentation.docx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The current (fuller) version of the intended list-by-list import plan, grouped by application area.</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Used as one of the sources for this document; some entries in it (Protocol, Probe Type) turned out not to match what the code actually does — see Sections 4.4 and 10.</w:t>
            </w:r>
          </w:p>
        </w:tc>
        <w:tc>
          <w:tcPr>
            <w:tcW w:type="dxa" w:w="1000"/>
            <w:shd w:fill="FCE4D6"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Reference</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r>
        <w:tc>
          <w:tcPr>
            <w:tcW w:type="dxa" w:w="1750"/>
            <w:tcMar>
              <w:top w:type="dxa" w:w="80"/>
              <w:left w:type="dxa" w:w="100"/>
              <w:bottom w:type="dxa" w:w="80"/>
              <w:right w:type="dxa" w:w="100"/>
            </w:tcMar>
            <w:vAlign w:val="top"/>
          </w:tcPr>
          <w:p>
            <w:pPr>
              <w:jc w:val="left"/>
            </w:pPr>
            <w:r>
              <w:rPr>
                <w:b/>
                <w:bCs/>
                <w:i w:val="false"/>
                <w:iCs w:val="false"/>
                <w:sz w:val="18"/>
                <w:szCs w:val="18"/>
              </w:rPr>
              <w:t xml:space="preserve">Copy of Import documentation.docx</w:t>
            </w:r>
          </w:p>
        </w:tc>
        <w:tc>
          <w:tcPr>
            <w:tcW w:type="dxa" w:w="2650"/>
            <w:tcMar>
              <w:top w:type="dxa" w:w="80"/>
              <w:left w:type="dxa" w:w="100"/>
              <w:bottom w:type="dxa" w:w="80"/>
              <w:right w:type="dxa" w:w="100"/>
            </w:tcMar>
            <w:vAlign w:val="top"/>
          </w:tcPr>
          <w:p>
            <w:pPr>
              <w:jc w:val="left"/>
            </w:pPr>
            <w:r>
              <w:rPr>
                <w:b w:val="false"/>
                <w:bCs w:val="false"/>
                <w:i w:val="false"/>
                <w:iCs w:val="false"/>
                <w:sz w:val="18"/>
                <w:szCs w:val="18"/>
              </w:rPr>
              <w:t xml:space="preserve">An earlier, shorter version of the same plan (missing the last five sections of the current file).</w:t>
            </w:r>
          </w:p>
        </w:tc>
        <w:tc>
          <w:tcPr>
            <w:tcW w:type="dxa" w:w="2200"/>
            <w:tcMar>
              <w:top w:type="dxa" w:w="80"/>
              <w:left w:type="dxa" w:w="100"/>
              <w:bottom w:type="dxa" w:w="80"/>
              <w:right w:type="dxa" w:w="100"/>
            </w:tcMar>
            <w:vAlign w:val="top"/>
          </w:tcPr>
          <w:p>
            <w:pPr>
              <w:jc w:val="left"/>
            </w:pPr>
            <w:r>
              <w:rPr>
                <w:b w:val="false"/>
                <w:bCs w:val="false"/>
                <w:i w:val="false"/>
                <w:iCs w:val="false"/>
                <w:sz w:val="18"/>
                <w:szCs w:val="18"/>
              </w:rPr>
              <w:t xml:space="preserve">Superseded by “Import documentation.docx”.</w:t>
            </w:r>
          </w:p>
        </w:tc>
        <w:tc>
          <w:tcPr>
            <w:tcW w:type="dxa" w:w="1000"/>
            <w:shd w:fill="FCE4D6" w:color="auto" w:val="clear"/>
            <w:tcMar>
              <w:top w:type="dxa" w:w="80"/>
              <w:left w:type="dxa" w:w="100"/>
              <w:bottom w:type="dxa" w:w="80"/>
              <w:right w:type="dxa" w:w="100"/>
            </w:tcMar>
            <w:vAlign w:val="top"/>
          </w:tcPr>
          <w:p>
            <w:pPr>
              <w:jc w:val="center"/>
            </w:pPr>
            <w:r>
              <w:rPr>
                <w:b w:val="false"/>
                <w:bCs w:val="false"/>
                <w:i w:val="false"/>
                <w:iCs w:val="false"/>
                <w:sz w:val="18"/>
                <w:szCs w:val="18"/>
              </w:rPr>
              <w:t xml:space="preserve">Legacy</w:t>
            </w:r>
          </w:p>
        </w:tc>
        <w:tc>
          <w:tcPr>
            <w:tcW w:type="dxa" w:w="2400"/>
            <w:tcMar>
              <w:top w:type="dxa" w:w="80"/>
              <w:left w:type="dxa" w:w="100"/>
              <w:bottom w:type="dxa" w:w="80"/>
              <w:right w:type="dxa" w:w="100"/>
            </w:tcMar>
            <w:vAlign w:val="top"/>
          </w:tcPr>
          <w:p>
            <w:pPr>
              <w:jc w:val="left"/>
            </w:pPr>
            <w:r>
              <w:rPr>
                <w:b w:val="false"/>
                <w:bCs w:val="false"/>
                <w:i/>
                <w:iCs/>
                <w:sz w:val="18"/>
                <w:szCs w:val="18"/>
              </w:rPr>
              <w:t xml:space="preserve">—</w:t>
            </w:r>
          </w:p>
        </w:tc>
      </w:tr>
    </w:tbl>
    <w:p>
      <w:pPr>
        <w:pStyle w:val="Heading1"/>
        <w:spacing w:after="150" w:before="400"/>
      </w:pPr>
      <w:r>
        <w:t xml:space="preserve">12. Summary &amp; Recommendations</w:t>
      </w:r>
    </w:p>
    <w:p>
      <w:pPr>
        <w:spacing w:after="150"/>
      </w:pPr>
      <w:r>
        <w:rPr>
          <w:b w:val="false"/>
          <w:bCs w:val="false"/>
          <w:i w:val="false"/>
          <w:iCs w:val="false"/>
        </w:rPr>
        <w:t xml:space="preserve">Counting every list against the application's source code:</w:t>
      </w:r>
    </w:p>
    <w:p>
      <w:pPr>
        <w:pStyle w:val="ListParagraph"/>
        <w:numPr>
          <w:ilvl w:val="0"/>
          <w:numId w:val="1"/>
        </w:numPr>
        <w:spacing w:after="60"/>
      </w:pPr>
      <w:r>
        <w:t xml:space="preserve">About 45 of the lists are actively wired into a clinical form today — changing their content directly changes what a clinician can select when entering data.</w:t>
      </w:r>
    </w:p>
    <w:p>
      <w:pPr>
        <w:pStyle w:val="ListParagraph"/>
        <w:numPr>
          <w:ilvl w:val="0"/>
          <w:numId w:val="1"/>
        </w:numPr>
        <w:spacing w:after="60"/>
      </w:pPr>
      <w:r>
        <w:t xml:space="preserve">About 12 lists have a fully working management screen and API, contain real clinical content, but are not yet connected to any clinical field (Section headers above mark these “Not wired”). These are good candidates to either finish wiring up or to consciously deprioritize, since right now populating them has no visible effect in the app.</w:t>
      </w:r>
    </w:p>
    <w:p>
      <w:pPr>
        <w:pStyle w:val="ListParagraph"/>
        <w:numPr>
          <w:ilvl w:val="0"/>
          <w:numId w:val="1"/>
        </w:numPr>
        <w:spacing w:after="60"/>
      </w:pPr>
      <w:r>
        <w:t xml:space="preserve">A handful of files are clearly superseded duplicates of another file in this same folder (the placeholder ResectionType_export.xlsx, the old/duplicate Technique_TestName_TestResult_TestUnit files, the six Description/Text T/N/M files, LabTestDefinition_export.xlsx) — these could be archived out of the working folder to reduce confusion for future imports.</w:t>
      </w:r>
    </w:p>
    <w:p>
      <w:pPr>
        <w:pStyle w:val="ListParagraph"/>
        <w:numPr>
          <w:ilvl w:val="0"/>
          <w:numId w:val="1"/>
        </w:numPr>
        <w:spacing w:after="60"/>
      </w:pPr>
      <w:r>
        <w:t xml:space="preserve">Two files (Margin_export.xlsx and CodingSystemVersion_export.xlsx) have no corresponding table in the application at all, despite CodingSystemVersion being on the original import plan — worth a decision on whether to build them out or retire them.</w:t>
      </w:r>
    </w:p>
    <w:p>
      <w:pPr>
        <w:pStyle w:val="ListParagraph"/>
        <w:numPr>
          <w:ilvl w:val="0"/>
          <w:numId w:val="1"/>
        </w:numPr>
        <w:spacing w:after="60"/>
      </w:pPr>
      <w:r>
        <w:t xml:space="preserve">Two data-quality issues are worth a clinician's eye regardless of wiring status: Status_Type.xlsx's sample values don't match what the live database actually stores for patient status, and BloodSampleProcessDefinition_export.xlsx has name/description pairs that look shuffled relative to each other.</w:t>
      </w:r>
    </w:p>
    <w:p>
      <w:pPr>
        <w:pStyle w:val="ListParagraph"/>
        <w:numPr>
          <w:ilvl w:val="0"/>
          <w:numId w:val="1"/>
        </w:numPr>
        <w:spacing w:after="60"/>
      </w:pPr>
      <w:r>
        <w:t xml:space="preserve">Support-document coverage: 38 lists now have a linked clinician-facing support document, out of roughly 65 lists total — 14 from reshaping the existing example material in /support_documents, plus 24 newly drafted covering every remaining "Active" list (item names/values pulled verbatim from each list's own xlsx; two of these documents — Blood Sample Process and Blood Sample Tube Type — carry a prominent data-quality flag because their source Name/Description pairs don't reliably match). Every list still without a support document is currently "Not wired", "Legacy", or "No backend" — if any of those get wired up in the future, drafting a doc for them would be the natural next step.</w:t>
      </w:r>
    </w:p>
    <w:p>
      <w:pPr>
        <w:spacing w:after="0"/>
      </w:pPr>
      <w:r>
        <w:rPr>
          <w:b w:val="false"/>
          <w:bCs w:val="false"/>
          <w:i/>
          <w:iCs/>
        </w:rPr>
        <w:t xml:space="preserve">This document reflects the codebase as of August 2026; as lists get wired up or retired, it's worth re-checking the “Not wired” and “Legacy” rows above.</w:t>
      </w:r>
    </w:p>
    <w:sectPr>
      <w:pgSz w:w="12240" w:h="15840" w:orient="portrait"/>
      <w:pgMar w:top="1080" w:right="940" w:bottom="108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2026-08-31T12:20:00.829Z</dcterms:created>
  <dcterms:modified xsi:type="dcterms:W3CDTF">2026-08-31T12:20:00.830Z</dcterms:modified>
</cp:coreProperties>
</file>

<file path=docProps/custom.xml><?xml version="1.0" encoding="utf-8"?>
<Properties xmlns="http://schemas.openxmlformats.org/officeDocument/2006/custom-properties" xmlns:vt="http://schemas.openxmlformats.org/officeDocument/2006/docPropsVTypes"/>
</file>