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rtl w:val="0"/>
        </w:rPr>
        <w:t xml:space="preserve">CredisysTriunfadores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Este plan tiene como propósito proporcionar información que trabajos deben ser desarrollados, por quien serán desarrollados y en qué tiempo. Los integrantes del equipo de desarrollo pueden usar este documento para revisar las actividades que van a desarrollar y los recursos que van a utilizar.</w:t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El trabajo se divide en las siguientes áreas de contenido:</w:t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bidi w:val="0"/>
        <w:tblW w:w="8666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3"/>
        <w:gridCol w:w="4333"/>
        <w:tblGridChange w:id="0">
          <w:tblGrid>
            <w:gridCol w:w="4333"/>
            <w:gridCol w:w="4333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Integrante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Flor Lucía Mercado Carrera, Augusto Fabián Mercado.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Malimba Cueva Roxana (Líder), Saavedra Guarniz Oscar Geny (Líder).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Arquitecto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Malimba Cueva Roxana (Líder), Saavedra Guarniz Oscar Geny (Líder).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Malimba Cueva Roxana, Saavedra Guarniz Oscar Geny (Líder).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Malimba Cueva Roxana, Saavedra Guarniz Oscar Geny.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Gestión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Saavedra Guarniz Oscar Geny.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Gestión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Malimba Cueva Roxana (Líder), Saavedra Guarniz Oscar Geny (Líder).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Prácticas y Medidas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  <w:t xml:space="preserve">El equipo de trabajo utilizará prácticas de la metodología OpenUp para realizar modelado y documentación, para lo cual se usaran herramientas como Rational Software Architect (RSA) y documentos Word respectivamente, para la lista de elementos de trabajo y rastreo de progreso del trabajo (Excel) lo cual serán medidos mediante semanas o días según sea el caso.</w:t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Hitos y 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05.0" w:type="dxa"/>
        <w:jc w:val="left"/>
        <w:tblInd w:w="-2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140"/>
        <w:gridCol w:w="4320"/>
        <w:gridCol w:w="1845"/>
        <w:gridCol w:w="1335"/>
        <w:tblGridChange w:id="0">
          <w:tblGrid>
            <w:gridCol w:w="1365"/>
            <w:gridCol w:w="1140"/>
            <w:gridCol w:w="4320"/>
            <w:gridCol w:w="1845"/>
            <w:gridCol w:w="133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Primarios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(riesgos y escenarios de casos de uso)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Inicio o Hito Programado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Contacto con la empresa.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Aceptación del proyecto.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Reunión del equipo de trabajo para organizar el plan de cómo será realizado.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03-04-2015/10-04-2015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9"/>
              </w:numPr>
              <w:spacing w:before="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Realización del Documento de Visión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9"/>
              </w:numPr>
              <w:spacing w:before="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Realización del Documento de Plan de Proyecto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13-04-2015/15-04-2015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5"/>
              </w:numPr>
              <w:spacing w:before="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Análisis de áreas funcionales de la empresa.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5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Toma de Requerimientos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5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de Reunión de Requerimientos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20-04-2015/24-04-2015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2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del modelo de dominio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27-04-2015/01-05-2015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1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Modelado de Casos de Uso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2"/>
              </w:numPr>
              <w:spacing w:before="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Elaboración de Casos de Uso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04-05-2015/16-05-2015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3"/>
              </w:numPr>
              <w:spacing w:before="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Elaboración de Prototipos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3"/>
              </w:numPr>
              <w:spacing w:before="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Revisión de Prototipos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3"/>
              </w:numPr>
              <w:spacing w:before="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Validación de Prototipos</w:t>
            </w:r>
          </w:p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Riesgos: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0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los interesados quieran de otra forma o cambien de parecer en cuanto al flujo de trabajo.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18-05-2015/29-05-2015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3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 Diagramas de Secuencia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3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 la arquitectura del SW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3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del diagrama de componentes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3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del modelo de despliegue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01-06-2015/11-06-2015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5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y corrección del modelado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5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 base de datos y relaciones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15-06-2015/25-06-2015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Construcción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4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 capas y referencias</w:t>
            </w:r>
          </w:p>
          <w:p w:rsidR="00000000" w:rsidDel="00000000" w:rsidP="00000000" w:rsidRDefault="00000000" w:rsidRPr="00000000">
            <w:pPr>
              <w:keepLines w:val="1"/>
              <w:numPr>
                <w:ilvl w:val="0"/>
                <w:numId w:val="14"/>
              </w:numPr>
              <w:spacing w:before="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Mapeo de objetos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días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Construcción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clases de las capas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Interfaces y programación de eventos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 semanas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Construcción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4"/>
              </w:numPr>
              <w:spacing w:after="0" w:before="6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Validaciones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4"/>
              </w:numPr>
              <w:spacing w:after="0" w:before="6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Transición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0" w:before="6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Despliegue de la aplicación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rtl w:val="0"/>
              </w:rPr>
              <w:t xml:space="preserve">Capacitación de los usuarios y encargados de mantenimiento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12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rtl w:val="0"/>
              </w:rPr>
              <w:t xml:space="preserve">Entrega de manual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 días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3556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rtl w:val="0"/>
        </w:rPr>
        <w:t xml:space="preserve">Capacitación del personal encargado.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rtl w:val="0"/>
        </w:rPr>
        <w:t xml:space="preserve">Plan para test cuando </w:t>
      </w:r>
      <w:r w:rsidDel="00000000" w:rsidR="00000000" w:rsidRPr="00000000">
        <w:rPr>
          <w:rtl w:val="0"/>
        </w:rPr>
        <w:t xml:space="preserve">empiecen a usar los interesados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1080" w:hanging="360"/>
        <w:contextualSpacing w:val="1"/>
        <w:jc w:val="both"/>
        <w:rPr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rtl w:val="0"/>
        </w:rPr>
        <w:t xml:space="preserve">Plan de contingencia con respecto al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spacing w:after="60" w:before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debe tener una buena comunicación con el equipo de trabajo (incluye a los interesados), comentar los errores y llegar a un acuerdo para solucionarlos.</w:t>
      </w:r>
    </w:p>
    <w:sectPr>
      <w:headerReference r:id="rId6" w:type="default"/>
      <w:footerReference r:id="rId7" w:type="default"/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486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©Eclipse Process Framework, 2008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55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CredisysTriunfadores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 Versión: 1.1</w:t>
          </w:r>
        </w:p>
      </w:tc>
    </w:tr>
    <w:tr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Plan de  Proyecto</w:t>
          </w:r>
        </w:p>
      </w:tc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  Fecha: 24/04/2015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decimal"/>
      <w:lvlText w:val="%1"/>
      <w:lvlJc w:val="center"/>
      <w:pPr>
        <w:ind w:left="360" w:firstLine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png"/><Relationship Id="rId7" Type="http://schemas.openxmlformats.org/officeDocument/2006/relationships/footer" Target="footer1.xml"/></Relationships>
</file>