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Capital Incentive &amp; Treasury Models</w:t>
      </w:r>
    </w:p>
    <w:p>
      <w:r>
        <w:t>Developed capital incentive and treasury interaction models using Excel and Python.</w:t>
      </w:r>
    </w:p>
    <w:p>
      <w:r>
        <w:t>Financial decision-making lacked visibility into incentive alignment.</w:t>
      </w:r>
    </w:p>
    <w:p>
      <w:r>
        <w:t>Created simplified models for capital flows, investment readiness, and treasury interactions, supporting executive-level finance strategy and decision-making..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