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mbria" w:hAnsi="Cambria" w:cs="Cambria"/>
          <w:b/>
          <w:color w:val="17212C"/>
          <w:sz w:val="40"/>
        </w:rPr>
        <w:t>TEMARL — Dataset Strategy &amp; Remediation Plan</w:t>
      </w:r>
    </w:p>
    <w:p>
      <w:pPr>
        <w:spacing w:after="200"/>
      </w:pPr>
      <w:r>
        <w:rPr>
          <w:rFonts w:ascii="Calibri" w:hAnsi="Calibri" w:cs="Calibri"/>
          <w:b w:val="0"/>
          <w:i/>
          <w:color w:val="414E5A"/>
          <w:sz w:val="21"/>
        </w:rPr>
        <w:t>A consolidated, professor-facing report: why we use multiple datasets, what the current data limits, and the honest fix program that follows from the Phase-2 findings.</w:t>
      </w:r>
    </w:p>
    <w:p>
      <w:pPr>
        <w:spacing w:after="80"/>
      </w:pPr>
      <w:r>
        <w:rPr>
          <w:rFonts w:ascii="Calibri" w:hAnsi="Calibri" w:cs="Calibri"/>
          <w:b/>
          <w:sz w:val="20"/>
        </w:rPr>
        <w:t xml:space="preserve">How to read the status labels:  </w:t>
      </w:r>
      <w:r>
        <w:rPr>
          <w:rFonts w:ascii="Calibri" w:hAnsi="Calibri" w:cs="Calibri"/>
          <w:b/>
          <w:color w:val="35578A"/>
          <w:sz w:val="18"/>
        </w:rPr>
        <w:t xml:space="preserve">[DIAGNOSED]  </w:t>
      </w:r>
      <w:r>
        <w:rPr>
          <w:rFonts w:ascii="Calibri" w:hAnsi="Calibri" w:cs="Calibri"/>
          <w:b/>
          <w:color w:val="2F7D4F"/>
          <w:sz w:val="18"/>
        </w:rPr>
        <w:t xml:space="preserve">[IMPLEMENTED]  </w:t>
      </w:r>
      <w:r>
        <w:rPr>
          <w:rFonts w:ascii="Calibri" w:hAnsi="Calibri" w:cs="Calibri"/>
          <w:b/>
          <w:color w:val="9C5A08"/>
          <w:sz w:val="18"/>
        </w:rPr>
        <w:t xml:space="preserve">[PLANNED]  </w:t>
      </w:r>
    </w:p>
    <w:p>
      <w:pPr>
        <w:spacing w:after="240"/>
      </w:pPr>
      <w:r>
        <w:rPr>
          <w:rFonts w:ascii="Calibri" w:hAnsi="Calibri" w:cs="Calibri"/>
          <w:b w:val="0"/>
          <w:i/>
          <w:color w:val="6B7883"/>
          <w:sz w:val="19"/>
        </w:rPr>
        <w:t>Diagnosed = a problem proven with measured numbers.  Implemented = exists in code and smoke-tested.  Planned = designed with expected impact but NOT yet run. Nothing 'Planned' is presented as achieved.</w:t>
      </w:r>
    </w:p>
    <w:p>
      <w:pPr>
        <w:spacing w:before="280" w:after="120"/>
      </w:pPr>
      <w:r>
        <w:rPr>
          <w:rFonts w:ascii="Cambria" w:hAnsi="Cambria" w:cs="Cambria"/>
          <w:b/>
          <w:color w:val="0E5B57"/>
          <w:sz w:val="28"/>
        </w:rPr>
        <w:t>Executive summary</w:t>
      </w:r>
    </w:p>
    <w:p>
      <w:pPr>
        <w:spacing w:after="200"/>
      </w:pPr>
      <w:r>
        <w:rPr>
          <w:rFonts w:ascii="Calibri" w:hAnsi="Calibri" w:cs="Calibri"/>
          <w:b w:val="0"/>
          <w:i w:val="0"/>
          <w:sz w:val="21"/>
        </w:rPr>
        <w:t>No single public dataset satisfies all the requirements our method has. Our system needs four things from data — training volume, long attack sequences, real campaign structure, and a network topology — and no one corpus provides all four. So we use a small set of datasets with an explicit DIVISION OF LABOUR: each dataset supplies the one property it is best at, and we validate across them. This is standard practice for multi-requirement security ML and it strengthens external validity. Crucially, none of these datasets contain defender/deception labels — they ground the ATTACKER and the ENVIRONMENT; the honeypot defender policy is still trained in simulation.</w:t>
      </w:r>
    </w:p>
    <w:p>
      <w:pPr>
        <w:spacing w:before="280" w:after="120"/>
      </w:pPr>
      <w:r>
        <w:rPr>
          <w:rFonts w:ascii="Cambria" w:hAnsi="Cambria" w:cs="Cambria"/>
          <w:b/>
          <w:color w:val="0E5B57"/>
          <w:sz w:val="28"/>
        </w:rPr>
        <w:t>1 · Dataset strategy — division of labour</w:t>
      </w:r>
    </w:p>
    <w:p>
      <w:pPr>
        <w:spacing w:before="280" w:after="120"/>
      </w:pPr>
      <w:r>
        <w:rPr>
          <w:rFonts w:ascii="Cambria" w:hAnsi="Cambria" w:cs="Cambria"/>
          <w:b/>
          <w:color w:val="17212C"/>
          <w:sz w:val="23"/>
        </w:rPr>
        <w:t>What the method requires (and why one dataset is not enough)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0D6"/>
          <w:left w:val="single" w:sz="4" w:space="0" w:color="C9D0D6"/>
          <w:bottom w:val="single" w:sz="4" w:space="0" w:color="C9D0D6"/>
          <w:right w:val="single" w:sz="4" w:space="0" w:color="C9D0D6"/>
          <w:insideH w:val="single" w:sz="4" w:space="0" w:color="C9D0D6"/>
          <w:insideV w:val="single" w:sz="4" w:space="0" w:color="C9D0D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#</w:t>
            </w:r>
          </w:p>
        </w:tc>
        <w:tc>
          <w:tcPr>
            <w:tcW w:type="dxa" w:w="288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Requirement</w:t>
            </w:r>
          </w:p>
        </w:tc>
        <w:tc>
          <w:tcPr>
            <w:tcW w:type="dxa" w:w="288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Why the method needs it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R1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Training volume (thousands of sequences)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Pretrain the Transformer encoder + estimate attacker transition statistics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R2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Long kill chains (not 3–4 steps)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Justify a Transformer over a simpler encoder — order must carry information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R3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Real latent-profile / campaign structure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Different attacker intents genuinely warrant different deceptions (real headroom)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R4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A segmented network topology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Ground the Dec-POMDP subnets and cross-subnet (anticipatory) credit assignment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R5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A real-data held-out test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Show the encoder works on real attacks, not only in simulation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mbria" w:hAnsi="Cambria" w:cs="Cambria"/>
          <w:b/>
          <w:color w:val="17212C"/>
          <w:sz w:val="23"/>
        </w:rPr>
        <w:t>Which dataset fills which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0D6"/>
          <w:left w:val="single" w:sz="4" w:space="0" w:color="C9D0D6"/>
          <w:bottom w:val="single" w:sz="4" w:space="0" w:color="C9D0D6"/>
          <w:right w:val="single" w:sz="4" w:space="0" w:color="C9D0D6"/>
          <w:insideH w:val="single" w:sz="4" w:space="0" w:color="C9D0D6"/>
          <w:insideV w:val="single" w:sz="4" w:space="0" w:color="C9D0D6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Dataset</w:t>
            </w:r>
          </w:p>
        </w:tc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R1</w:t>
            </w:r>
          </w:p>
        </w:tc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R2</w:t>
            </w:r>
          </w:p>
        </w:tc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R3</w:t>
            </w:r>
          </w:p>
        </w:tc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R4</w:t>
            </w:r>
          </w:p>
        </w:tc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R5</w:t>
            </w:r>
          </w:p>
        </w:tc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OS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COMISET (current)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strong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short ~4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weak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none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~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Windows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CAM-LDS (2026)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tiny (34 runs)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56–60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7 scenarios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5-zone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34 real chains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Linux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MITRE ATT&amp;CK Evals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small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yes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named APTs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emulated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yes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Mixed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DARPA OpTC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huge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very long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~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enterprise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yes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Mixed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/>
          <w:b w:val="0"/>
          <w:i/>
          <w:color w:val="414E5A"/>
          <w:sz w:val="21"/>
        </w:rPr>
        <w:t>No single row is complete. That is the entire justification for using multiple datasets.</w:t>
      </w:r>
    </w:p>
    <w:p>
      <w:pPr>
        <w:spacing w:before="280" w:after="120"/>
      </w:pPr>
      <w:r>
        <w:rPr>
          <w:rFonts w:ascii="Cambria" w:hAnsi="Cambria" w:cs="Cambria"/>
          <w:b/>
          <w:color w:val="17212C"/>
          <w:sz w:val="23"/>
        </w:rPr>
        <w:t>What we MUST use, and why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0D6"/>
          <w:left w:val="single" w:sz="4" w:space="0" w:color="C9D0D6"/>
          <w:bottom w:val="single" w:sz="4" w:space="0" w:color="C9D0D6"/>
          <w:right w:val="single" w:sz="4" w:space="0" w:color="C9D0D6"/>
          <w:insideH w:val="single" w:sz="4" w:space="0" w:color="C9D0D6"/>
          <w:insideV w:val="single" w:sz="4" w:space="0" w:color="C9D0D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Tier</w:t>
            </w:r>
          </w:p>
        </w:tc>
        <w:tc>
          <w:tcPr>
            <w:tcW w:type="dxa" w:w="288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Dataset</w:t>
            </w:r>
          </w:p>
        </w:tc>
        <w:tc>
          <w:tcPr>
            <w:tcW w:type="dxa" w:w="288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Role / reason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1 — mandatory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COMISET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Statistical backbone: real Windows data; supplies training VOLUME and the attacker transition statistics; establishes that history matters (bigram 0.45 &gt; counter 0.35).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1 — mandatory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CAM-LDS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Structural grounding + reality check: real 5-zone TOPOLOGY, 7 real campaign PROFILES with variants, long kill chains, and 34 real chains for HELD-OUT evaluation. Too small to train on.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2 — strongly rec.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MITRE ATT&amp;CK Evals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Profile-reality anchor: emulations of real named APTs (APT29/Carbanak). Answers the 'benchmark is self-defined / circular' objection.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3 — optional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DARPA OpTC / TON_IoT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Training-scale long sequences / robustness — only if volume beyond COMISET is needed. Heavy to process.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mbria" w:hAnsi="Cambria" w:cs="Cambria"/>
          <w:b/>
          <w:color w:val="17212C"/>
          <w:sz w:val="23"/>
        </w:rPr>
        <w:t>How the datasets flow through the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0D6"/>
          <w:left w:val="single" w:sz="4" w:space="0" w:color="C9D0D6"/>
          <w:bottom w:val="single" w:sz="4" w:space="0" w:color="C9D0D6"/>
          <w:right w:val="single" w:sz="4" w:space="0" w:color="C9D0D6"/>
          <w:insideH w:val="single" w:sz="4" w:space="0" w:color="C9D0D6"/>
          <w:insideV w:val="single" w:sz="4" w:space="0" w:color="C9D0D6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Pipeline stage</w:t>
            </w:r>
          </w:p>
        </w:tc>
        <w:tc>
          <w:tcPr>
            <w:tcW w:type="dxa" w:w="432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Dataset used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Encoder pretraining (sequence statistics)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COMISET (+ OpTC)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Attacker transition model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COMISET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Network topology (subnets/zones)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CAM-LDS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Latent campaign profiles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CAM-LDS scenarios (+ ATT&amp;CK Evals)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Policy / MARL training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Simulation, parameterised by the above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Held-out real-data evaluation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CAM-LDS real chains (+ ATT&amp;CK Evals)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mbria" w:hAnsi="Cambria" w:cs="Cambria"/>
          <w:b/>
          <w:color w:val="17212C"/>
          <w:sz w:val="23"/>
        </w:rPr>
        <w:t>Why this is rigorous, not cherry-picking</w:t>
      </w:r>
    </w:p>
    <w:p>
      <w:pPr>
        <w:pStyle w:val="ListBullet"/>
        <w:spacing w:after="60"/>
      </w:pPr>
      <w:r>
        <w:rPr>
          <w:rFonts w:ascii="Calibri" w:hAnsi="Calibri" w:cs="Calibri"/>
          <w:sz w:val="21"/>
        </w:rPr>
        <w:t>Each dataset is assigned to a role BY REQUIREMENT, before looking at results — not chosen to make a number look good.</w:t>
      </w:r>
    </w:p>
    <w:p>
      <w:pPr>
        <w:pStyle w:val="ListBullet"/>
        <w:spacing w:after="60"/>
      </w:pPr>
      <w:r>
        <w:rPr>
          <w:rFonts w:ascii="Calibri" w:hAnsi="Calibri" w:cs="Calibri"/>
          <w:sz w:val="21"/>
        </w:rPr>
        <w:t>Testing one frozen encoder across two operating systems (Windows + Linux) is a GENERALISATION test — the opposite of cherry-picking.</w:t>
      </w:r>
    </w:p>
    <w:p>
      <w:pPr>
        <w:pStyle w:val="ListBullet"/>
        <w:spacing w:after="60"/>
      </w:pPr>
      <w:r>
        <w:rPr>
          <w:rFonts w:ascii="Calibri" w:hAnsi="Calibri" w:cs="Calibri"/>
          <w:sz w:val="21"/>
        </w:rPr>
        <w:t>The CAM-LDS authors themselves recommend complementing their Linux data with Windows datasets — so CAM-LDS + COMISET is documented practice.</w:t>
      </w:r>
    </w:p>
    <w:p>
      <w:pPr>
        <w:pStyle w:val="ListBullet"/>
        <w:spacing w:after="60"/>
      </w:pPr>
      <w:r>
        <w:rPr>
          <w:rFonts w:ascii="Calibri" w:hAnsi="Calibri" w:cs="Calibri"/>
          <w:sz w:val="21"/>
        </w:rPr>
        <w:t>It converts three weak points (toy topology, hand-picked profiles, no real-data test) into grounded, externally-sourced strengths.</w:t>
      </w:r>
    </w:p>
    <w:p>
      <w:pPr>
        <w:spacing w:before="280" w:after="120"/>
      </w:pPr>
      <w:r>
        <w:rPr>
          <w:rFonts w:ascii="Cambria" w:hAnsi="Cambria" w:cs="Cambria"/>
          <w:b/>
          <w:color w:val="17212C"/>
          <w:sz w:val="23"/>
        </w:rPr>
        <w:t>Limitations to state up front</w:t>
      </w:r>
    </w:p>
    <w:p>
      <w:pPr>
        <w:pStyle w:val="ListBullet"/>
        <w:spacing w:after="60"/>
      </w:pPr>
      <w:r>
        <w:rPr>
          <w:rFonts w:ascii="Calibri" w:hAnsi="Calibri" w:cs="Calibri"/>
          <w:sz w:val="21"/>
        </w:rPr>
        <w:t>No dataset includes defender/deception actions — the environment's response dynamics remain simulated; only the attacker is data-grounded.</w:t>
      </w:r>
    </w:p>
    <w:p>
      <w:pPr>
        <w:pStyle w:val="ListBullet"/>
        <w:spacing w:after="60"/>
      </w:pPr>
      <w:r>
        <w:rPr>
          <w:rFonts w:ascii="Calibri" w:hAnsi="Calibri" w:cs="Calibri"/>
          <w:sz w:val="21"/>
        </w:rPr>
        <w:t>CAM-LDS is small (grounding/eval only) and weak on Exfiltration — the one profile where our positive result lives, so treat that result cautiously.</w:t>
      </w:r>
    </w:p>
    <w:p>
      <w:pPr>
        <w:pStyle w:val="ListBullet"/>
        <w:spacing w:after="60"/>
      </w:pPr>
      <w:r>
        <w:rPr>
          <w:rFonts w:ascii="Calibri" w:hAnsi="Calibri" w:cs="Calibri"/>
          <w:sz w:val="21"/>
        </w:rPr>
        <w:t>Cross-OS mixing (Windows + Linux) has different technique distributions; report this as a controlled variable, not a confound.</w:t>
      </w:r>
    </w:p>
    <w:p>
      <w:pPr>
        <w:spacing w:before="280" w:after="120"/>
      </w:pPr>
      <w:r>
        <w:rPr>
          <w:rFonts w:ascii="Cambria" w:hAnsi="Cambria" w:cs="Cambria"/>
          <w:b/>
          <w:color w:val="0E5B57"/>
          <w:sz w:val="28"/>
        </w:rPr>
        <w:t>2 · COMISET forensic audit — why the current data caps the ceiling</w:t>
      </w:r>
    </w:p>
    <w:p>
      <w:pPr>
        <w:spacing w:after="120"/>
      </w:pPr>
      <w:r>
        <w:rPr>
          <w:rFonts w:ascii="Calibri" w:hAnsi="Calibri" w:cs="Calibri"/>
          <w:b w:val="0"/>
          <w:i w:val="0"/>
          <w:sz w:val="21"/>
        </w:rPr>
        <w:t>Observed from the dataset metadata: 49.9M log lines → 1.69M labelled records → 23,361 raw sessions → 5,637 kept (17,724 dropped as 'too short'); avg sequence length 5.21 (raw), ~3.96 in sim space; technique distribution heavily skewed (id21: 10,938 … id12: 100).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0D6"/>
          <w:left w:val="single" w:sz="4" w:space="0" w:color="C9D0D6"/>
          <w:bottom w:val="single" w:sz="4" w:space="0" w:color="C9D0D6"/>
          <w:right w:val="single" w:sz="4" w:space="0" w:color="C9D0D6"/>
          <w:insideH w:val="single" w:sz="4" w:space="0" w:color="C9D0D6"/>
          <w:insideV w:val="single" w:sz="4" w:space="0" w:color="C9D0D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ID</w:t>
            </w:r>
          </w:p>
        </w:tc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Issue</w:t>
            </w:r>
          </w:p>
        </w:tc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Evidence</w:t>
            </w:r>
          </w:p>
        </w:tc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Consequence &amp; fix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35578A"/>
                <w:sz w:val="18"/>
              </w:rPr>
              <w:t xml:space="preserve">[DIAGNOSED]  </w:t>
            </w:r>
            <w:r>
              <w:rPr>
                <w:rFonts w:ascii="Calibri" w:hAnsi="Calibri" w:cs="Calibri"/>
                <w:sz w:val="19"/>
              </w:rPr>
              <w:t>D01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Dominant technique excluded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T1574 (id21) = 40% of records, dropped by SIM_NUM_TECHNIQUES=20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Grounded on the minority 7 techniques. Fix: raise the cap to include ids 20–22; re-estimate.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35578A"/>
                <w:sz w:val="18"/>
              </w:rPr>
              <w:t xml:space="preserve">[DIAGNOSED]  </w:t>
            </w:r>
            <w:r>
              <w:rPr>
                <w:rFonts w:ascii="Calibri" w:hAnsi="Calibri" w:cs="Calibri"/>
                <w:sz w:val="19"/>
              </w:rPr>
              <w:t>D02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76% survivorship filter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17,724 of 23,361 sessions dropped for length &lt; 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Retained data is the atypical 'active' tail. Fix: report the length distribution; justify the filter.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35578A"/>
                <w:sz w:val="18"/>
              </w:rPr>
              <w:t xml:space="preserve">[DIAGNOSED]  </w:t>
            </w:r>
            <w:r>
              <w:rPr>
                <w:rFonts w:ascii="Calibri" w:hAnsi="Calibri" w:cs="Calibri"/>
                <w:sz w:val="19"/>
              </w:rPr>
              <w:t>D03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Sequences too short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mean ~4–5, median 3; a 2-layer/4-head Transformer is over-parameterised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'Why Transformer?' unanswered. Fix: longer chains (CAM-LDS) or add GRU/set-encoder controls.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35578A"/>
                <w:sz w:val="18"/>
              </w:rPr>
              <w:t xml:space="preserve">[DIAGNOSED]  </w:t>
            </w:r>
            <w:r>
              <w:rPr>
                <w:rFonts w:ascii="Calibri" w:hAnsi="Calibri" w:cs="Calibri"/>
                <w:sz w:val="19"/>
              </w:rPr>
              <w:t>D04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Only initialises the encoder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RL loop + eval are 100% synthetic; no test on real COMISET sequences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'Real-data-grounded' is untested. Fix: closed-loop replay of held-out real sequences.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35578A"/>
                <w:sz w:val="18"/>
              </w:rPr>
              <w:t xml:space="preserve">[DIAGNOSED]  </w:t>
            </w:r>
            <w:r>
              <w:rPr>
                <w:rFonts w:ascii="Calibri" w:hAnsi="Calibri" w:cs="Calibri"/>
                <w:sz w:val="19"/>
              </w:rPr>
              <w:t>D05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Single dataset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one corpus; no evidence the encoder transfers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Fix: zero-shot probe transfer to a second corpus (CAM-LDS).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35578A"/>
                <w:sz w:val="18"/>
              </w:rPr>
              <w:t xml:space="preserve">[DIAGNOSED]  </w:t>
            </w:r>
            <w:r>
              <w:rPr>
                <w:rFonts w:ascii="Calibri" w:hAnsi="Calibri" w:cs="Calibri"/>
                <w:sz w:val="19"/>
              </w:rPr>
              <w:t>D06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Opaque label provenance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1.69M labelled from 49.9M lines (3.4%); mapping rules undocumented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Possible label noise into h. Fix: document rules; spot-check against manual labels.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 w:cs="Calibri"/>
          <w:b w:val="0"/>
          <w:i/>
          <w:color w:val="9C5A08"/>
          <w:sz w:val="21"/>
        </w:rPr>
        <w:t>The uncomfortable truth: COMISET alone gives only +0.0036 decision headroom — its techniques cluster where one generic response suffices. That is exactly why the environment needs the real, diverse campaign structure CAM-LDS provides. The dataset is the axis that determines whether a decisive win is even POSSIBLE.</w:t>
      </w:r>
    </w:p>
    <w:p>
      <w:pPr>
        <w:spacing w:before="280" w:after="120"/>
      </w:pPr>
      <w:r>
        <w:rPr>
          <w:rFonts w:ascii="Cambria" w:hAnsi="Cambria" w:cs="Cambria"/>
          <w:b/>
          <w:color w:val="0E5B57"/>
          <w:sz w:val="28"/>
        </w:rPr>
        <w:t>3 · The remediation program — six fixes (with honest status)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0D6"/>
          <w:left w:val="single" w:sz="4" w:space="0" w:color="C9D0D6"/>
          <w:bottom w:val="single" w:sz="4" w:space="0" w:color="C9D0D6"/>
          <w:right w:val="single" w:sz="4" w:space="0" w:color="C9D0D6"/>
          <w:insideH w:val="single" w:sz="4" w:space="0" w:color="C9D0D6"/>
          <w:insideV w:val="single" w:sz="4" w:space="0" w:color="C9D0D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Fix</w:t>
            </w:r>
          </w:p>
        </w:tc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Targets</w:t>
            </w:r>
          </w:p>
        </w:tc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Status</w:t>
            </w:r>
          </w:p>
        </w:tc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A3A47"/>
                <w:sz w:val="19"/>
              </w:rPr>
              <w:t>What it does / expected effect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FIX-1  Imitation-pretrained policy + guarded PPO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P01,P02,P03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2F7D4F"/>
                <w:sz w:val="18"/>
              </w:rPr>
              <w:t xml:space="preserve">[IMPLEMENTED]  </w:t>
            </w:r>
            <w:r>
              <w:rPr>
                <w:rFonts w:ascii="Calibri" w:hAnsi="Calibri" w:cs="Calibri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Move the learner OFF the divergent TD value function onto a policy head: supervised imitation of a*(profile) over the frozen encoder, then a guarded PPO fine-tune (best-by-eval guard, cannot regress). r5 deleted. Smoke test: 0.545 alignment. NOT yet run to completion (deferred behind re-grounding).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FIX-2  Alignment-driven containment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P04,P02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9C5A08"/>
                <w:sz w:val="18"/>
              </w:rPr>
              <w:t xml:space="preserve">[PLANNED]  </w:t>
            </w:r>
            <w:r>
              <w:rPr>
                <w:rFonts w:ascii="Calibri" w:hAnsi="Calibri" w:cs="Calibri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Make capture probability depend on alignment, so DSR de-saturates and mis-alignment has a real cost. A step counter cannot infer WHICH profile it faces, so this legitimately strips its advantage (disclosed env property).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FIX-3  External payoff via MITRE D3FEND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P05, circularity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9C5A08"/>
                <w:sz w:val="18"/>
              </w:rPr>
              <w:t xml:space="preserve">[PLANNED]  </w:t>
            </w:r>
            <w:r>
              <w:rPr>
                <w:rFonts w:ascii="Calibri" w:hAnsi="Calibri" w:cs="Calibri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Replace the hand-authored ALIGNMENT_MATRIX with D3FEND countermeasure↔technique mappings, so per-profile optima are set by an external authority; headroom rises from 0.074 toward 0.15–0.25. Fit once and freeze.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FIX-4  GRU/LSTM + set-encoder controls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'why Transformer?'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9C5A08"/>
                <w:sz w:val="18"/>
              </w:rPr>
              <w:t xml:space="preserve">[PLANNED]  </w:t>
            </w:r>
            <w:r>
              <w:rPr>
                <w:rFonts w:ascii="Calibri" w:hAnsi="Calibri" w:cs="Calibri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Run RNN and bag-of-techniques encoders through the identical protocol. A Transformer win is a second result; a tie is the honest finding 'a set encoder suffices for short chains'. Resolves the objection either way.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FIX-5  OOD / abstention head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robustness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9C5A08"/>
                <w:sz w:val="18"/>
              </w:rPr>
              <w:t xml:space="preserve">[PLANNED]  </w:t>
            </w:r>
            <w:r>
              <w:rPr>
                <w:rFonts w:ascii="Calibri" w:hAnsi="Calibri" w:cs="Calibri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Decoy injection currently drops h accuracy (0.39→0.27) and detection AUROC≈0.5. Add adversarial training + a calibrated abstention that falls back to best-fixed — turning 'fails silently' into 'robust by design'.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FIX-6  Statistical rigor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underpowered stats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9C5A08"/>
                <w:sz w:val="18"/>
              </w:rPr>
              <w:t xml:space="preserve">[PLANNED]  </w:t>
            </w:r>
            <w:r>
              <w:rPr>
                <w:rFonts w:ascii="Calibri" w:hAnsi="Calibri" w:cs="Calibri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cs="Calibri"/>
                <w:sz w:val="19"/>
              </w:rPr>
              <w:t>10 seeds × 200 episodes, Cohen's d, Holm–Bonferroni across profiles, on-policy references only, and state the off→on-policy headroom correction (the earlier 74% was an off-policy over-estimate; honest value is 38%).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mbria" w:hAnsi="Cambria" w:cs="Cambria"/>
          <w:b/>
          <w:color w:val="17212C"/>
          <w:sz w:val="23"/>
        </w:rPr>
        <w:t>The integrated order (each is a prerequisite for the next win to be real)</w:t>
      </w:r>
    </w:p>
    <w:p>
      <w:pPr>
        <w:pStyle w:val="ListNumber"/>
        <w:spacing w:after="60"/>
      </w:pPr>
      <w:r>
        <w:rPr>
          <w:rFonts w:ascii="Calibri" w:hAnsi="Calibri" w:cs="Calibri"/>
          <w:sz w:val="21"/>
        </w:rPr>
        <w:t>FIX-3 (external D3FEND payoff) → creates real, per-profile headroom (~0.15–0.25).</w:t>
      </w:r>
    </w:p>
    <w:p>
      <w:pPr>
        <w:pStyle w:val="ListNumber"/>
        <w:spacing w:after="60"/>
      </w:pPr>
      <w:r>
        <w:rPr>
          <w:rFonts w:ascii="Calibri" w:hAnsi="Calibri" w:cs="Calibri"/>
          <w:sz w:val="21"/>
        </w:rPr>
        <w:t>FIX-2 (alignment→capture) → makes the metric an outcome and strips the counter/fixed advantage legitimately.</w:t>
      </w:r>
    </w:p>
    <w:p>
      <w:pPr>
        <w:pStyle w:val="ListNumber"/>
        <w:spacing w:after="60"/>
      </w:pPr>
      <w:r>
        <w:rPr>
          <w:rFonts w:ascii="Calibri" w:hAnsi="Calibri" w:cs="Calibri"/>
          <w:sz w:val="21"/>
        </w:rPr>
        <w:t>FIX-1 (imitation-pretrained policy) → the Transformer policy converges and captures that headroom.</w:t>
      </w:r>
    </w:p>
    <w:p>
      <w:pPr>
        <w:pStyle w:val="ListNumber"/>
        <w:spacing w:after="60"/>
      </w:pPr>
      <w:r>
        <w:rPr>
          <w:rFonts w:ascii="Calibri" w:hAnsi="Calibri" w:cs="Calibri"/>
          <w:sz w:val="21"/>
        </w:rPr>
        <w:t>FIX-4 / 5 / 6 → defend the architecture, robustness, and statistics.</w:t>
      </w:r>
    </w:p>
    <w:p>
      <w:pPr>
        <w:spacing w:after="200"/>
      </w:pPr>
      <w:r>
        <w:rPr>
          <w:rFonts w:ascii="Calibri" w:hAnsi="Calibri" w:cs="Calibri"/>
          <w:b w:val="0"/>
          <w:i/>
          <w:color w:val="414E5A"/>
          <w:sz w:val="21"/>
        </w:rPr>
        <w:t>Honest expected end-state: with FIX-1+2+3 in place, the Transformer-intent policy can plausibly beat TD-QMIX, the step-counter, and best-fixed on a de-saturated, externally-grounded metric, with corrected effect sizes. What we will NOT claim: a 100% sweep (P_Exploit has zero headroom by construction), or a win obtained by tuning the benchmark against the scoreboard.</w:t>
      </w:r>
    </w:p>
    <w:p>
      <w:pPr>
        <w:spacing w:before="280" w:after="120"/>
      </w:pPr>
      <w:r>
        <w:rPr>
          <w:rFonts w:ascii="Cambria" w:hAnsi="Cambria" w:cs="Cambria"/>
          <w:b/>
          <w:color w:val="0E5B57"/>
          <w:sz w:val="28"/>
        </w:rPr>
        <w:t>4 · Current status &amp; honest bottom line</w:t>
      </w:r>
    </w:p>
    <w:p>
      <w:pPr>
        <w:spacing w:after="60"/>
      </w:pPr>
      <w:r>
        <w:rPr>
          <w:rFonts w:ascii="Calibri" w:hAnsi="Calibri" w:cs="Calibri"/>
          <w:b/>
          <w:color w:val="2F7D4F"/>
          <w:sz w:val="18"/>
        </w:rPr>
        <w:t xml:space="preserve">[IMPLEMENTED]  </w:t>
      </w:r>
      <w:r>
        <w:rPr>
          <w:rFonts w:ascii="Calibri" w:hAnsi="Calibri" w:cs="Calibri"/>
          <w:sz w:val="21"/>
        </w:rPr>
        <w:t>Done today: r5 removed from the reward; FIX-1 coded and smoke-tested (imitation 0.545, guarded PPO); the CAM-LDS grounding file (5-zone topology + 7 scenario profiles + 76-technique inventory) built.</w:t>
      </w:r>
    </w:p>
    <w:p>
      <w:pPr>
        <w:spacing w:after="60"/>
      </w:pPr>
      <w:r>
        <w:rPr>
          <w:rFonts w:ascii="Calibri" w:hAnsi="Calibri" w:cs="Calibri"/>
          <w:b/>
          <w:color w:val="9C5A08"/>
          <w:sz w:val="18"/>
        </w:rPr>
        <w:t xml:space="preserve">[PLANNED]  </w:t>
      </w:r>
      <w:r>
        <w:rPr>
          <w:rFonts w:ascii="Calibri" w:hAnsi="Calibri" w:cs="Calibri"/>
          <w:sz w:val="21"/>
        </w:rPr>
        <w:t>Planned next: rebuild the environment on the CAM-LDS topology (FIX-2/3), then retrain FIX-1 on it, then layer FIX-4/5/6. Immediate gate: the vocabulary decision (of 76 CAM-LDS techniques, 55 are new).</w:t>
      </w:r>
    </w:p>
    <w:p>
      <w:pPr>
        <w:spacing w:after="160"/>
      </w:pPr>
      <w:r>
        <w:rPr>
          <w:rFonts w:ascii="Calibri" w:hAnsi="Calibri" w:cs="Calibri"/>
          <w:b w:val="0"/>
          <w:i w:val="0"/>
          <w:sz w:val="21"/>
        </w:rPr>
        <w:t>Bottom line for the committee: we do NOT yet claim an empirical win. We claim a rigorous, measured diagnosis; a demonstrably-working intent encoder (profile probe 0.72, next-technique 0.38 &gt; 0.30 bigram); an implemented learner fix; and a de-risked, dependency-ordered path to a defensible result. Either final outcome — a modest but significant win, or a clean mechanism-backed negative — is honest and publishable.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