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A5F"/>
          <w:sz w:val="88"/>
          <w:szCs w:val="88"/>
        </w:rPr>
        <w:t xml:space="preserve">TEMARL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1F2933"/>
          <w:sz w:val="36"/>
          <w:szCs w:val="36"/>
        </w:rPr>
        <w:t xml:space="preserve">Transformer-Enhanced Multi-Agent Reinforcement Learning for Adaptive Honeypot Deception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2E6DA4"/>
          <w:sz w:val="30"/>
          <w:szCs w:val="30"/>
        </w:rPr>
        <w:t xml:space="preserve">Progress update: genuine multi-agent learning, results, and comparison plan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F2933"/>
          <w:sz w:val="28"/>
          <w:szCs w:val="28"/>
        </w:rPr>
        <w:t xml:space="preserve">Apurba Roy  ·  Tushit Roy  ·  Mark Dipto Gomes  ·  Farjana Akter Shumi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F2933"/>
          <w:sz w:val="28"/>
          <w:szCs w:val="28"/>
        </w:rPr>
        <w:t xml:space="preserve">Supervisor: Md. Sakir Hossain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B7C"/>
          <w:sz w:val="28"/>
          <w:szCs w:val="28"/>
        </w:rPr>
        <w:t xml:space="preserve">BRAC University  ·  September 2026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At a glance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3200"/>
        <w:gridCol w:w="11478"/>
      </w:tblGrid>
      <w:tr>
        <w:trPr>
          <w:cantSplit/>
        </w:trPr>
        <w:tc>
          <w:tcPr>
            <w:tcW w:type="dxa" w:w="3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What TEMARL does</w:t>
            </w:r>
          </w:p>
        </w:tc>
        <w:tc>
          <w:tcPr>
            <w:tcW w:type="dxa" w:w="114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Four defender agents, one per network zone, deploy MITRE D3FEND decoys. A language model reads the attacker's technique history and tells every agent what the attacker is likely to do next.</w:t>
            </w:r>
          </w:p>
        </w:tc>
      </w:tr>
      <w:tr>
        <w:trPr>
          <w:cantSplit/>
        </w:trPr>
        <w:tc>
          <w:tcPr>
            <w:tcW w:type="dxa" w:w="32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What we built</w:t>
            </w:r>
          </w:p>
        </w:tc>
        <w:tc>
          <w:tcPr>
            <w:tcW w:type="dxa" w:w="114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A new, genuinely multi-agent environment in which the agents must coordinate, trained with multi-agent RL (MAPPO) and validated before any result was trusted.</w:t>
            </w:r>
          </w:p>
        </w:tc>
      </w:tr>
      <w:tr>
        <w:trPr>
          <w:cantSplit/>
        </w:trPr>
        <w:tc>
          <w:tcPr>
            <w:tcW w:type="dxa" w:w="3200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Main result</w:t>
            </w:r>
          </w:p>
        </w:tc>
        <w:tc>
          <w:tcPr>
            <w:tcW w:type="dxa" w:w="11478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On attacks seen in training, the team keeps attackers engaged for 8.4 steps, against 4.4 for the best fixed decoys. Attacker-intent modelling adds 28%. Transformer, GRU and LSTM perform the same.</w:t>
            </w:r>
          </w:p>
        </w:tc>
      </w:tr>
      <w:tr>
        <w:trPr>
          <w:cantSplit/>
        </w:trPr>
        <w:tc>
          <w:tcPr>
            <w:tcW w:type="dxa" w:w="32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Honest limit</w:t>
            </w:r>
          </w:p>
        </w:tc>
        <w:tc>
          <w:tcPr>
            <w:tcW w:type="dxa" w:w="114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On a completely unseen attack script the team does not generalise: it falls to 3.6 steps and loses to a simple reactive rule.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Next step</w:t>
            </w:r>
          </w:p>
        </w:tc>
        <w:tc>
          <w:tcPr>
            <w:tcW w:type="dxa" w:w="114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Compare with published approaches through adapted baselines inside the same environment.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1. The language models we implemented</w:t>
      </w:r>
    </w:p>
    <w:p>
      <w:pPr>
        <w:spacing w:after="220" w:before="0" w:line="300"/>
        <w:jc w:val="left"/>
      </w:pPr>
      <w:r>
        <w:rPr>
          <w:rFonts w:ascii="Calibri" w:cs="Calibri" w:eastAsia="Calibri" w:hAnsi="Calibri"/>
          <w:i/>
          <w:iCs/>
          <w:color w:val="5B6B7C"/>
          <w:sz w:val="27"/>
          <w:szCs w:val="27"/>
        </w:rPr>
        <w:t xml:space="preserve">Each model reads the attacker's last 16 MITRE ATT&amp;CK techniques and turns them into a 64-number "intent vector" shared with all four defender agents.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2700"/>
        <w:gridCol w:w="6178"/>
        <w:gridCol w:w="1900"/>
        <w:gridCol w:w="3900"/>
      </w:tblGrid>
      <w:tr>
        <w:trPr>
          <w:cantSplit/>
          <w:tblHeader/>
        </w:trPr>
        <w:tc>
          <w:tcPr>
            <w:tcW w:type="dxa" w:w="27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Model</w:t>
            </w:r>
          </w:p>
        </w:tc>
        <w:tc>
          <w:tcPr>
            <w:tcW w:type="dxa" w:w="6178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How it reads the attack history</w:t>
            </w:r>
          </w:p>
        </w:tc>
        <w:tc>
          <w:tcPr>
            <w:tcW w:type="dxa" w:w="19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Parameters</w:t>
            </w:r>
          </w:p>
        </w:tc>
        <w:tc>
          <w:tcPr>
            <w:tcW w:type="dxa" w:w="39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Why it is included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Transformer (RoPE)</w:t>
            </w:r>
          </w:p>
        </w:tc>
        <w:tc>
          <w:tcPr>
            <w:tcW w:type="dxa" w:w="61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Attention: looks at all past techniques at once; rotary position encoding keeps their order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67,072</w:t>
            </w:r>
          </w:p>
        </w:tc>
        <w:tc>
          <w:tcPr>
            <w:tcW w:type="dxa" w:w="3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The thesis model</w:t>
            </w:r>
          </w:p>
        </w:tc>
      </w:tr>
      <w:tr>
        <w:trPr>
          <w:cantSplit/>
        </w:trPr>
        <w:tc>
          <w:tcPr>
            <w:tcW w:type="dxa" w:w="27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GRU</w:t>
            </w:r>
          </w:p>
        </w:tc>
        <w:tc>
          <w:tcPr>
            <w:tcW w:type="dxa" w:w="61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Recurrent: reads techniques one at a time and keeps a running memory</w:t>
            </w:r>
          </w:p>
        </w:tc>
        <w:tc>
          <w:tcPr>
            <w:tcW w:type="dxa" w:w="19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67,168</w:t>
            </w:r>
          </w:p>
        </w:tc>
        <w:tc>
          <w:tcPr>
            <w:tcW w:type="dxa" w:w="39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Standard recurrent comparison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LSTM</w:t>
            </w:r>
          </w:p>
        </w:tc>
        <w:tc>
          <w:tcPr>
            <w:tcW w:type="dxa" w:w="61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Recurrent, with a separate long-term memory cell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67,152</w:t>
            </w:r>
          </w:p>
        </w:tc>
        <w:tc>
          <w:tcPr>
            <w:tcW w:type="dxa" w:w="3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Second recurrent comparison</w:t>
            </w:r>
          </w:p>
        </w:tc>
      </w:tr>
      <w:tr>
        <w:trPr>
          <w:cantSplit/>
        </w:trPr>
        <w:tc>
          <w:tcPr>
            <w:tcW w:type="dxa" w:w="27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SetEncoder</w:t>
            </w:r>
          </w:p>
        </w:tc>
        <w:tc>
          <w:tcPr>
            <w:tcW w:type="dxa" w:w="61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Treats the history as an unordered bag of techniques</w:t>
            </w:r>
          </w:p>
        </w:tc>
        <w:tc>
          <w:tcPr>
            <w:tcW w:type="dxa" w:w="19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67,272</w:t>
            </w:r>
          </w:p>
        </w:tc>
        <w:tc>
          <w:tcPr>
            <w:tcW w:type="dxa" w:w="39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Tests whether order matters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NoHistory</w:t>
            </w:r>
          </w:p>
        </w:tc>
        <w:tc>
          <w:tcPr>
            <w:tcW w:type="dxa" w:w="61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No model: the intent vector is always zero</w:t>
            </w:r>
          </w:p>
        </w:tc>
        <w:tc>
          <w:tcPr>
            <w:tcW w:type="dxa" w:w="1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0</w:t>
            </w:r>
          </w:p>
        </w:tc>
        <w:tc>
          <w:tcPr>
            <w:tcW w:type="dxa" w:w="3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Tests whether intent matters at all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Kept fair on purpose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Same size: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all four models are matched to within 0.3% of the Transformer's parameter count.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Same training: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each is first trained to predict the attacker's next technique, then frozen before the agents learn.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Prediction accuracy on CAM-LDS attacks (Top-1):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Transformer 45%, GRU 45%, LSTM 45%, SetEncoder 33%. Always guessing the most common technique scores 6%; a "last technique → next technique" lookup table scores 37%.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2. The new multi-agent environment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 Why we had to build it</w:t>
      </w:r>
    </w:p>
    <w:p>
      <w:pPr>
        <w:spacing w:after="220" w:before="0" w:line="300"/>
        <w:jc w:val="left"/>
      </w:pPr>
      <w:r>
        <w:rPr>
          <w:rFonts w:ascii="Calibri" w:cs="Calibri" w:eastAsia="Calibri" w:hAnsi="Calibri"/>
          <w:i/>
          <w:iCs/>
          <w:color w:val="5B6B7C"/>
          <w:sz w:val="27"/>
          <w:szCs w:val="27"/>
        </w:rPr>
        <w:t xml:space="preserve">An audit of the previous system (v5) showed it did not match what the proposal promised.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9100"/>
        <w:gridCol w:w="5578"/>
      </w:tblGrid>
      <w:tr>
        <w:trPr>
          <w:cantSplit/>
          <w:tblHeader/>
        </w:trPr>
        <w:tc>
          <w:tcPr>
            <w:tcW w:type="dxa" w:w="91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Problem found in the previous system</w:t>
            </w:r>
          </w:p>
        </w:tc>
        <w:tc>
          <w:tcPr>
            <w:tcW w:type="dxa" w:w="5578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Why it mattered</w:t>
            </w:r>
          </w:p>
        </w:tc>
      </w:tr>
      <w:tr>
        <w:trPr>
          <w:cantSplit/>
        </w:trPr>
        <w:tc>
          <w:tcPr>
            <w:tcW w:type="dxa" w:w="9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Not reinforcement learning. </w:t>
            </w: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The agents copied a scripted "correct answer" (behaviour cloning), because RL (PPO) never beat a single fixed decoy.</w:t>
            </w:r>
          </w:p>
        </w:tc>
        <w:tc>
          <w:tcPr>
            <w:tcW w:type="dxa" w:w="55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The thesis title promises multi-agent reinforcement learning.</w:t>
            </w:r>
          </w:p>
        </w:tc>
      </w:tr>
      <w:tr>
        <w:trPr>
          <w:cantSplit/>
        </w:trPr>
        <w:tc>
          <w:tcPr>
            <w:tcW w:type="dxa" w:w="9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Nothing to coordinate. </w:t>
            </w: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Reward depended only on the one agent watching the attacker's zone.</w:t>
            </w:r>
          </w:p>
        </w:tc>
        <w:tc>
          <w:tcPr>
            <w:tcW w:type="dxa" w:w="55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Four separate single-agent problems, not a team problem.</w:t>
            </w:r>
          </w:p>
        </w:tc>
      </w:tr>
      <w:tr>
        <w:trPr>
          <w:cantSplit/>
        </w:trPr>
        <w:tc>
          <w:tcPr>
            <w:tcW w:type="dxa" w:w="9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Identical agents. </w:t>
            </w: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All four agents were trained to give the same answer.</w:t>
            </w:r>
          </w:p>
        </w:tc>
        <w:tc>
          <w:tcPr>
            <w:tcW w:type="dxa" w:w="55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No team behaviour could emerge.</w:t>
            </w:r>
          </w:p>
        </w:tc>
      </w:tr>
      <w:tr>
        <w:trPr>
          <w:cantSplit/>
        </w:trPr>
        <w:tc>
          <w:tcPr>
            <w:tcW w:type="dxa" w:w="9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Untrained placement. </w:t>
            </w: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The part of the network that chooses where to place a decoy was never trained.</w:t>
            </w:r>
          </w:p>
        </w:tc>
        <w:tc>
          <w:tcPr>
            <w:tcW w:type="dxa" w:w="55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Weakened results on larger networks.</w:t>
            </w:r>
          </w:p>
        </w:tc>
      </w:tr>
      <w:tr>
        <w:trPr>
          <w:cantSplit/>
        </w:trPr>
        <w:tc>
          <w:tcPr>
            <w:tcW w:type="dxa" w:w="9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Main metric ran backwards. </w:t>
            </w: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Catching the attacker ended the episode, so a better defence produced a shorter dwell time.</w:t>
            </w:r>
          </w:p>
        </w:tc>
        <w:tc>
          <w:tcPr>
            <w:tcW w:type="dxa" w:w="55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A defender doing nothing scored the highest dwell time.</w:t>
            </w:r>
          </w:p>
        </w:tc>
      </w:tr>
    </w:tbl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2.2  How we built it</w:t>
      </w:r>
    </w:p>
    <w:tbl>
      <w:tblPr>
        <w:tblW w:type="dxa" w:w="146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90"/>
        <w:gridCol w:w="560"/>
        <w:gridCol w:w="2487"/>
        <w:gridCol w:w="560"/>
        <w:gridCol w:w="2487"/>
        <w:gridCol w:w="560"/>
        <w:gridCol w:w="2487"/>
        <w:gridCol w:w="560"/>
        <w:gridCol w:w="2487"/>
      </w:tblGrid>
      <w:tr>
        <w:trPr>
          <w:cantSplit/>
        </w:trPr>
        <w:tc>
          <w:tcPr>
            <w:tcW w:type="dxa" w:w="249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EAF1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5"/>
                <w:szCs w:val="25"/>
              </w:rPr>
              <w:t xml:space="preserve">Attacker history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Last 16 ATT&amp;CK techniques (SIEM log)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40"/>
                <w:szCs w:val="40"/>
              </w:rPr>
              <w:t xml:space="preserve">→</w:t>
            </w:r>
          </w:p>
        </w:tc>
        <w:tc>
          <w:tcPr>
            <w:tcW w:type="dxa" w:w="2487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EAF1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5"/>
                <w:szCs w:val="25"/>
              </w:rPr>
              <w:t xml:space="preserve">Language model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Transformer / GRU / LSTM predicts intent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40"/>
                <w:szCs w:val="40"/>
              </w:rPr>
              <w:t xml:space="preserve">→</w:t>
            </w:r>
          </w:p>
        </w:tc>
        <w:tc>
          <w:tcPr>
            <w:tcW w:type="dxa" w:w="2487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EAF1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5"/>
                <w:szCs w:val="25"/>
              </w:rPr>
              <w:t xml:space="preserve">Intent vector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Shared with every zone agent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40"/>
                <w:szCs w:val="40"/>
              </w:rPr>
              <w:t xml:space="preserve">→</w:t>
            </w:r>
          </w:p>
        </w:tc>
        <w:tc>
          <w:tcPr>
            <w:tcW w:type="dxa" w:w="2487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EAF1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5"/>
                <w:szCs w:val="25"/>
              </w:rPr>
              <w:t xml:space="preserve">4 zone agents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DMZ · LAN · User · Admin, trained with MAPPO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40"/>
                <w:szCs w:val="40"/>
              </w:rPr>
              <w:t xml:space="preserve">→</w:t>
            </w:r>
          </w:p>
        </w:tc>
        <w:tc>
          <w:tcPr>
            <w:tcW w:type="dxa" w:w="2487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EAF1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5"/>
                <w:szCs w:val="25"/>
              </w:rPr>
              <w:t xml:space="preserve">Coordinated decoys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Attacker engaged longer; real assets protected</w:t>
            </w:r>
          </w:p>
        </w:tc>
      </w:tr>
    </w:tbl>
    <w:p>
      <w:pPr>
        <w:spacing w:after="260"/>
      </w:pP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Engagement, not capture.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A deceived attacker keeps interacting with decoys; every interaction step counts as dwell time, so a better defence now scores higher.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Three rules that force coordination.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Shared capacity: at most two decoys run at full quality. Breadcrumbs: a fake credential or file only works if another agent has a decoy waiting. Shared exposure: one unrealistic decoy reveals the deception to the attacker for the whole team.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Real attacker behaviour.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The attacker follows the seven CAM-LDS attack scripts.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Validated before training.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Five checks, fixed in advance, all passed. Coordination alone is worth 33% of the best achievable score.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Trained with MAPPO,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after a learning check confirmed the team really learns (it captured 78.5% of the achievable gain).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Pre-registered.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Every hypothesis and statistical test was written down and committed before the final experiment ran.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2.3  The papers behind each design choice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3300"/>
        <w:gridCol w:w="6878"/>
        <w:gridCol w:w="4500"/>
      </w:tblGrid>
      <w:tr>
        <w:trPr>
          <w:cantSplit/>
          <w:tblHeader/>
        </w:trPr>
        <w:tc>
          <w:tcPr>
            <w:tcW w:type="dxa" w:w="3300"/>
            <w:shd w:fill="1F3A5F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Design element</w:t>
            </w:r>
          </w:p>
        </w:tc>
        <w:tc>
          <w:tcPr>
            <w:tcW w:type="dxa" w:w="6878"/>
            <w:shd w:fill="1F3A5F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Paper</w:t>
            </w:r>
          </w:p>
        </w:tc>
        <w:tc>
          <w:tcPr>
            <w:tcW w:type="dxa" w:w="4500"/>
            <w:shd w:fill="1F3A5F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Learning algorithm (MAPPO)</w:t>
            </w:r>
          </w:p>
        </w:tc>
        <w:tc>
          <w:tcPr>
            <w:tcW w:type="dxa" w:w="6878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Yu et al., "The Surprising Effectiveness of PPO in Cooperative Multi-Agent Games", NeurIPS 2022</w:t>
            </w:r>
          </w:p>
        </w:tc>
        <w:tc>
          <w:tcPr>
            <w:tcW w:type="dxa" w:w="45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hyperlink w:history="1" r:id="rIdr5obtj6aignsy9xtmmxno">
              <w:r>
                <w:rPr>
                  <w:rFonts w:ascii="Calibri" w:cs="Calibri" w:eastAsia="Calibri" w:hAnsi="Calibri"/>
                  <w:color w:val="2E6DA4"/>
                  <w:sz w:val="25"/>
                  <w:szCs w:val="25"/>
                  <w:u w:val="single"/>
                </w:rPr>
                <w:t xml:space="preserve">arxiv.org/abs/2103.01955</w:t>
              </w:r>
            </w:hyperlink>
          </w:p>
        </w:tc>
      </w:tr>
      <w:tr>
        <w:trPr>
          <w:cantSplit/>
        </w:trPr>
        <w:tc>
          <w:tcPr>
            <w:tcW w:type="dxa" w:w="33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Comparison learner (IPPO)</w:t>
            </w:r>
          </w:p>
        </w:tc>
        <w:tc>
          <w:tcPr>
            <w:tcW w:type="dxa" w:w="6878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de Witt et al., "Is Independent Learning All You Need in the StarCraft Multi-Agent Challenge?", 2020</w:t>
            </w:r>
          </w:p>
        </w:tc>
        <w:tc>
          <w:tcPr>
            <w:tcW w:type="dxa" w:w="45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hyperlink w:history="1" r:id="rIdcgrlgwevopixueh21lbtc">
              <w:r>
                <w:rPr>
                  <w:rFonts w:ascii="Calibri" w:cs="Calibri" w:eastAsia="Calibri" w:hAnsi="Calibri"/>
                  <w:color w:val="2E6DA4"/>
                  <w:sz w:val="25"/>
                  <w:szCs w:val="25"/>
                  <w:u w:val="single"/>
                </w:rPr>
                <w:t xml:space="preserve">arxiv.org/abs/2011.09533</w:t>
              </w:r>
            </w:hyperlink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Problem structure (Dec-POMDP)</w:t>
            </w:r>
          </w:p>
        </w:tc>
        <w:tc>
          <w:tcPr>
            <w:tcW w:type="dxa" w:w="6878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Oliehoek &amp; Amato, "A Concise Introduction to Decentralized POMDPs", Springer 2016</w:t>
            </w:r>
          </w:p>
        </w:tc>
        <w:tc>
          <w:tcPr>
            <w:tcW w:type="dxa" w:w="45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hyperlink w:history="1" r:id="rId-qlxmudajzpm-6zr_ubzh">
              <w:r>
                <w:rPr>
                  <w:rFonts w:ascii="Calibri" w:cs="Calibri" w:eastAsia="Calibri" w:hAnsi="Calibri"/>
                  <w:color w:val="2E6DA4"/>
                  <w:sz w:val="25"/>
                  <w:szCs w:val="25"/>
                  <w:u w:val="single"/>
                </w:rPr>
                <w:t xml:space="preserve">doi.org/10.1007/978-3-319-28929-8</w:t>
              </w:r>
            </w:hyperlink>
          </w:p>
        </w:tc>
      </w:tr>
      <w:tr>
        <w:trPr>
          <w:cantSplit/>
        </w:trPr>
        <w:tc>
          <w:tcPr>
            <w:tcW w:type="dxa" w:w="33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Combining local view and intent (GMU)</w:t>
            </w:r>
          </w:p>
        </w:tc>
        <w:tc>
          <w:tcPr>
            <w:tcW w:type="dxa" w:w="6878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Arevalo et al., "Gated Multimodal Units for Information Fusion", ICLR Workshop 2017</w:t>
            </w:r>
          </w:p>
        </w:tc>
        <w:tc>
          <w:tcPr>
            <w:tcW w:type="dxa" w:w="45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hyperlink w:history="1" r:id="rIdb2y2kpgow_hwihopvgf2k">
              <w:r>
                <w:rPr>
                  <w:rFonts w:ascii="Calibri" w:cs="Calibri" w:eastAsia="Calibri" w:hAnsi="Calibri"/>
                  <w:color w:val="2E6DA4"/>
                  <w:sz w:val="25"/>
                  <w:szCs w:val="25"/>
                  <w:u w:val="single"/>
                </w:rPr>
                <w:t xml:space="preserve">arxiv.org/abs/1702.01992</w:t>
              </w:r>
            </w:hyperlink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Decoy types</w:t>
            </w:r>
          </w:p>
        </w:tc>
        <w:tc>
          <w:tcPr>
            <w:tcW w:type="dxa" w:w="6878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MITRE D3FEND knowledge graph of countermeasures (Kaloroumakis &amp; Smith, 2021)</w:t>
            </w:r>
          </w:p>
        </w:tc>
        <w:tc>
          <w:tcPr>
            <w:tcW w:type="dxa" w:w="45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hyperlink w:history="1" r:id="rIdg_dlco76roctyzu_26vxf">
              <w:r>
                <w:rPr>
                  <w:rFonts w:ascii="Calibri" w:cs="Calibri" w:eastAsia="Calibri" w:hAnsi="Calibri"/>
                  <w:color w:val="2E6DA4"/>
                  <w:sz w:val="25"/>
                  <w:szCs w:val="25"/>
                  <w:u w:val="single"/>
                </w:rPr>
                <w:t xml:space="preserve">d3fend.mitre.org</w:t>
              </w:r>
            </w:hyperlink>
          </w:p>
        </w:tc>
      </w:tr>
      <w:tr>
        <w:trPr>
          <w:cantSplit/>
        </w:trPr>
        <w:tc>
          <w:tcPr>
            <w:tcW w:type="dxa" w:w="33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Capacity rule</w:t>
            </w:r>
          </w:p>
        </w:tc>
        <w:tc>
          <w:tcPr>
            <w:tcW w:type="dxa" w:w="6878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Holz &amp; Raynal, "Detecting Honeypots and Other Suspicious Environments", IEEE IAW 2005</w:t>
            </w:r>
          </w:p>
        </w:tc>
        <w:tc>
          <w:tcPr>
            <w:tcW w:type="dxa" w:w="45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hyperlink w:history="1" r:id="rIdclzitw36ehyb81t09fazr">
              <w:r>
                <w:rPr>
                  <w:rFonts w:ascii="Calibri" w:cs="Calibri" w:eastAsia="Calibri" w:hAnsi="Calibri"/>
                  <w:color w:val="2E6DA4"/>
                  <w:sz w:val="25"/>
                  <w:szCs w:val="25"/>
                  <w:u w:val="single"/>
                </w:rPr>
                <w:t xml:space="preserve">doi.org/10.1109/IAW.2005.1495930</w:t>
              </w:r>
            </w:hyperlink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Capacity rule</w:t>
            </w:r>
          </w:p>
        </w:tc>
        <w:tc>
          <w:tcPr>
            <w:tcW w:type="dxa" w:w="6878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Fu et al., "On Recognizing Virtual Honeypots and Countermeasures", IEEE DASC 2006</w:t>
            </w:r>
          </w:p>
        </w:tc>
        <w:tc>
          <w:tcPr>
            <w:tcW w:type="dxa" w:w="45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hyperlink w:history="1" r:id="rIdfef3hyfijcmv5wgg8vwmj">
              <w:r>
                <w:rPr>
                  <w:rFonts w:ascii="Calibri" w:cs="Calibri" w:eastAsia="Calibri" w:hAnsi="Calibri"/>
                  <w:color w:val="2E6DA4"/>
                  <w:sz w:val="25"/>
                  <w:szCs w:val="25"/>
                  <w:u w:val="single"/>
                </w:rPr>
                <w:t xml:space="preserve">doi.org/10.1109/DASC.2006.36</w:t>
              </w:r>
            </w:hyperlink>
          </w:p>
        </w:tc>
      </w:tr>
      <w:tr>
        <w:trPr>
          <w:cantSplit/>
        </w:trPr>
        <w:tc>
          <w:tcPr>
            <w:tcW w:type="dxa" w:w="33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Breadcrumb rule</w:t>
            </w:r>
          </w:p>
        </w:tc>
        <w:tc>
          <w:tcPr>
            <w:tcW w:type="dxa" w:w="6878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Spitzner, "Honeytokens: The Other Honeypot", SecurityFocus 2003</w:t>
            </w:r>
          </w:p>
        </w:tc>
        <w:tc>
          <w:tcPr>
            <w:tcW w:type="dxa" w:w="45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No stable link (original page offline)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Strategic framing</w:t>
            </w:r>
          </w:p>
        </w:tc>
        <w:tc>
          <w:tcPr>
            <w:tcW w:type="dxa" w:w="6878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Kiekintveld, Lisý &amp; Píbil, "Game-Theoretic Foundations for the Strategic Use of Honeypots in Network Security", Springer 2015</w:t>
            </w:r>
          </w:p>
        </w:tc>
        <w:tc>
          <w:tcPr>
            <w:tcW w:type="dxa" w:w="4500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hyperlink w:history="1" r:id="rIdkc4x_btncumg0kyv-gzi-">
              <w:r>
                <w:rPr>
                  <w:rFonts w:ascii="Calibri" w:cs="Calibri" w:eastAsia="Calibri" w:hAnsi="Calibri"/>
                  <w:color w:val="2E6DA4"/>
                  <w:sz w:val="25"/>
                  <w:szCs w:val="25"/>
                  <w:u w:val="single"/>
                </w:rPr>
                <w:t xml:space="preserve">doi.org/10.1007/978-3-319-14039-1_5</w:t>
              </w:r>
            </w:hyperlink>
          </w:p>
        </w:tc>
      </w:tr>
      <w:tr>
        <w:trPr>
          <w:cantSplit/>
        </w:trPr>
        <w:tc>
          <w:tcPr>
            <w:tcW w:type="dxa" w:w="33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Closest multi-agent cyber benchmark</w:t>
            </w:r>
          </w:p>
        </w:tc>
        <w:tc>
          <w:tcPr>
            <w:tcW w:type="dxa" w:w="6878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Kiely et al., "CAGE Challenge 4: A Scalable Multi-Agent RL Gym for Autonomous Cyber Defence", AI Magazine 2025</w:t>
            </w:r>
          </w:p>
        </w:tc>
        <w:tc>
          <w:tcPr>
            <w:tcW w:type="dxa" w:w="4500"/>
            <w:shd w:fill="F4F7FA" w:color="auto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hyperlink w:history="1" r:id="rIdpgy0pe3oh1eyfa-tzoxfn">
              <w:r>
                <w:rPr>
                  <w:rFonts w:ascii="Calibri" w:cs="Calibri" w:eastAsia="Calibri" w:hAnsi="Calibri"/>
                  <w:color w:val="2E6DA4"/>
                  <w:sz w:val="25"/>
                  <w:szCs w:val="25"/>
                  <w:u w:val="single"/>
                </w:rPr>
                <w:t xml:space="preserve">doi.org/10.1002/aaai.70021</w:t>
              </w:r>
            </w:hyperlink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3. Datasets: CAM-LDS and COMISET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2600"/>
        <w:gridCol w:w="6039"/>
        <w:gridCol w:w="6039"/>
      </w:tblGrid>
      <w:tr>
        <w:trPr>
          <w:cantSplit/>
          <w:tblHeader/>
        </w:trPr>
        <w:tc>
          <w:tcPr>
            <w:tcW w:type="dxa" w:w="26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/>
            </w:r>
          </w:p>
        </w:tc>
        <w:tc>
          <w:tcPr>
            <w:tcW w:type="dxa" w:w="6039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CAM-LDS  (main dataset)</w:t>
            </w:r>
          </w:p>
        </w:tc>
        <w:tc>
          <w:tcPr>
            <w:tcW w:type="dxa" w:w="6039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COMISET Lab  (second dataset)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What it is</w:t>
            </w:r>
          </w:p>
        </w:tc>
        <w:tc>
          <w:tcPr>
            <w:tcW w:type="dxa" w:w="6039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7 real attack scenarios executed in AIT's AttackBed enterprise testbed; 81 ATT&amp;CK techniques across 13 tactics.</w:t>
            </w:r>
          </w:p>
        </w:tc>
        <w:tc>
          <w:tcPr>
            <w:tcW w:type="dxa" w:w="6039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10 days of red-team activity logged on a single Windows host; 1.71 million labelled malicious events.</w:t>
            </w:r>
          </w:p>
        </w:tc>
      </w:tr>
      <w:tr>
        <w:trPr>
          <w:cantSplit/>
        </w:trPr>
        <w:tc>
          <w:tcPr>
            <w:tcW w:type="dxa" w:w="26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What we fixed</w:t>
            </w:r>
          </w:p>
        </w:tc>
        <w:tc>
          <w:tcPr>
            <w:tcW w:type="dxa" w:w="6039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An earlier paper-based reconstruction dropped some attack steps. We switched to the 36 verified execution runs (1,347 labelled steps).</w:t>
            </w:r>
          </w:p>
        </w:tc>
        <w:tc>
          <w:tcPr>
            <w:tcW w:type="dxa" w:w="6039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Our first extraction used an old 25-technique vocabulary and silently lost 43 of 53 techniques. We rebuilt it: 6,796 usable sessions.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How we used it</w:t>
            </w:r>
          </w:p>
        </w:tc>
        <w:tc>
          <w:tcPr>
            <w:tcW w:type="dxa" w:w="6039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One attacker model per scenario, with its real entry zone, target, goal and run length. Used for training, testing and the unseen-attack test.</w:t>
            </w:r>
          </w:p>
        </w:tc>
        <w:tc>
          <w:tcPr>
            <w:tcW w:type="dxa" w:w="6039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Benchmark for the language models alone: predicting the attacker's next technique.</w:t>
            </w:r>
          </w:p>
        </w:tc>
      </w:tr>
      <w:tr>
        <w:trPr>
          <w:cantSplit/>
        </w:trPr>
        <w:tc>
          <w:tcPr>
            <w:tcW w:type="dxa" w:w="26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What we found</w:t>
            </w:r>
          </w:p>
        </w:tc>
        <w:tc>
          <w:tcPr>
            <w:tcW w:type="dxa" w:w="6039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Suitable: a segmented network and distinct attack scripts. All five environment checks passed.</w:t>
            </w:r>
          </w:p>
        </w:tc>
        <w:tc>
          <w:tcPr>
            <w:tcW w:type="dxa" w:w="6039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Language models: GRU slightly beat the Transformer (72.95% vs 72.05% Top-1). Multi-agent use: failed the environment checks, because one host has no network to coordinate across. Reported as a negative result.</w:t>
            </w:r>
          </w:p>
        </w:tc>
      </w:tr>
    </w:tbl>
    <w:p>
      <w:pPr>
        <w:spacing w:after="200"/>
      </w:pPr>
    </w:p>
    <w:p>
      <w:pPr>
        <w:spacing w:after="60" w:before="0" w:line="300"/>
        <w:jc w:val="left"/>
      </w:pPr>
      <w:r>
        <w:rPr>
          <w:rFonts w:ascii="Calibri" w:cs="Calibri" w:eastAsia="Calibri" w:hAnsi="Calibri"/>
          <w:b/>
          <w:bCs/>
          <w:color w:val="1F2933"/>
          <w:sz w:val="24"/>
          <w:szCs w:val="24"/>
        </w:rPr>
        <w:t xml:space="preserve">Sources: </w:t>
      </w:r>
    </w:p>
    <w:p>
      <w:pPr>
        <w:spacing w:after="60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CAM-LDS: Landauer et al., International Journal of Information Security, 2026 — </w:t>
      </w:r>
      <w:hyperlink w:history="1" r:id="rIdiojjfraq23jcptv9kaanm">
        <w:r>
          <w:rPr>
            <w:rFonts w:ascii="Calibri" w:cs="Calibri" w:eastAsia="Calibri" w:hAnsi="Calibri"/>
            <w:color w:val="2E6DA4"/>
            <w:sz w:val="24"/>
            <w:szCs w:val="24"/>
            <w:u w:val="single"/>
          </w:rPr>
          <w:t xml:space="preserve">doi.org/10.1007/s10207-026-01318-x</w:t>
        </w:r>
      </w:hyperlink>
      <w:r>
        <w:rPr>
          <w:rFonts w:ascii="Calibri" w:cs="Calibri" w:eastAsia="Calibri" w:hAnsi="Calibri"/>
          <w:color w:val="1F2933"/>
          <w:sz w:val="24"/>
          <w:szCs w:val="24"/>
        </w:rPr>
        <w:t xml:space="preserve">   ·   data: </w:t>
      </w:r>
      <w:hyperlink w:history="1" r:id="rIdsjomddtysj2eoevkm9d7j">
        <w:r>
          <w:rPr>
            <w:rFonts w:ascii="Calibri" w:cs="Calibri" w:eastAsia="Calibri" w:hAnsi="Calibri"/>
            <w:color w:val="2E6DA4"/>
            <w:sz w:val="24"/>
            <w:szCs w:val="24"/>
            <w:u w:val="single"/>
          </w:rPr>
          <w:t xml:space="preserve">zenodo.org/records/18861762</w:t>
        </w:r>
      </w:hyperlink>
    </w:p>
    <w:p>
      <w:pPr>
        <w:spacing w:after="60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COMISET: Data in Brief, 2025 — </w:t>
      </w:r>
      <w:hyperlink w:history="1" r:id="rIda_cfvsv_q6_vqkxbhldep">
        <w:r>
          <w:rPr>
            <w:rFonts w:ascii="Calibri" w:cs="Calibri" w:eastAsia="Calibri" w:hAnsi="Calibri"/>
            <w:color w:val="2E6DA4"/>
            <w:sz w:val="24"/>
            <w:szCs w:val="24"/>
            <w:u w:val="single"/>
          </w:rPr>
          <w:t xml:space="preserve">doi.org/10.1016/j.dib.2025.111723</w:t>
        </w:r>
      </w:hyperlink>
      <w:r>
        <w:rPr>
          <w:rFonts w:ascii="Calibri" w:cs="Calibri" w:eastAsia="Calibri" w:hAnsi="Calibri"/>
          <w:color w:val="1F2933"/>
          <w:sz w:val="24"/>
          <w:szCs w:val="24"/>
        </w:rPr>
        <w:t xml:space="preserve">   ·   data: </w:t>
      </w:r>
      <w:hyperlink w:history="1" r:id="rId0zvglybyhsqmnrsixl_ha">
        <w:r>
          <w:rPr>
            <w:rFonts w:ascii="Calibri" w:cs="Calibri" w:eastAsia="Calibri" w:hAnsi="Calibri"/>
            <w:color w:val="2E6DA4"/>
            <w:sz w:val="24"/>
            <w:szCs w:val="24"/>
            <w:u w:val="single"/>
          </w:rPr>
          <w:t xml:space="preserve">doi.org/10.5281/zenodo.15375145</w:t>
        </w:r>
      </w:hyperlink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4. Results on CAM-LDS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4.1  Attacks seen during training  (10 independent runs × 500 test attacks each)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5678"/>
        <w:gridCol w:w="3000"/>
        <w:gridCol w:w="3200"/>
        <w:gridCol w:w="2800"/>
      </w:tblGrid>
      <w:tr>
        <w:trPr>
          <w:cantSplit/>
          <w:tblHeader/>
        </w:trPr>
        <w:tc>
          <w:tcPr>
            <w:tcW w:type="dxa" w:w="5678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Defender team</w:t>
            </w:r>
          </w:p>
        </w:tc>
        <w:tc>
          <w:tcPr>
            <w:tcW w:type="dxa" w:w="30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Dwell time (steps)</w:t>
            </w:r>
          </w:p>
        </w:tc>
        <w:tc>
          <w:tcPr>
            <w:tcW w:type="dxa" w:w="32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Interaction depth (techniques)</w:t>
            </w:r>
          </w:p>
        </w:tc>
        <w:tc>
          <w:tcPr>
            <w:tcW w:type="dxa" w:w="28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Asset protection</w:t>
            </w:r>
          </w:p>
        </w:tc>
      </w:tr>
      <w:tr>
        <w:trPr>
          <w:cantSplit/>
        </w:trPr>
        <w:tc>
          <w:tcPr>
            <w:tcW w:type="dxa" w:w="5678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Transformer + MAPPO  (thesis model)</w:t>
            </w:r>
          </w:p>
        </w:tc>
        <w:tc>
          <w:tcPr>
            <w:tcW w:type="dxa" w:w="3000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8.40</w:t>
            </w:r>
          </w:p>
        </w:tc>
        <w:tc>
          <w:tcPr>
            <w:tcW w:type="dxa" w:w="3200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5.73</w:t>
            </w:r>
          </w:p>
        </w:tc>
        <w:tc>
          <w:tcPr>
            <w:tcW w:type="dxa" w:w="2800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47%</w:t>
            </w:r>
          </w:p>
        </w:tc>
      </w:tr>
      <w:tr>
        <w:trPr>
          <w:cantSplit/>
        </w:trPr>
        <w:tc>
          <w:tcPr>
            <w:tcW w:type="dxa" w:w="56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GRU + MAPPO</w:t>
            </w:r>
          </w:p>
        </w:tc>
        <w:tc>
          <w:tcPr>
            <w:tcW w:type="dxa" w:w="30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8.46</w:t>
            </w:r>
          </w:p>
        </w:tc>
        <w:tc>
          <w:tcPr>
            <w:tcW w:type="dxa" w:w="32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5.77</w:t>
            </w:r>
          </w:p>
        </w:tc>
        <w:tc>
          <w:tcPr>
            <w:tcW w:type="dxa" w:w="28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47%</w:t>
            </w:r>
          </w:p>
        </w:tc>
      </w:tr>
      <w:tr>
        <w:trPr>
          <w:cantSplit/>
        </w:trPr>
        <w:tc>
          <w:tcPr>
            <w:tcW w:type="dxa" w:w="56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LSTM + MAPPO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8.45</w:t>
            </w:r>
          </w:p>
        </w:tc>
        <w:tc>
          <w:tcPr>
            <w:tcW w:type="dxa" w:w="3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5.74</w:t>
            </w:r>
          </w:p>
        </w:tc>
        <w:tc>
          <w:tcPr>
            <w:tcW w:type="dxa" w:w="2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49%</w:t>
            </w:r>
          </w:p>
        </w:tc>
      </w:tr>
      <w:tr>
        <w:trPr>
          <w:cantSplit/>
        </w:trPr>
        <w:tc>
          <w:tcPr>
            <w:tcW w:type="dxa" w:w="56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Transformer + IPPO</w:t>
            </w:r>
          </w:p>
        </w:tc>
        <w:tc>
          <w:tcPr>
            <w:tcW w:type="dxa" w:w="30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7.92</w:t>
            </w:r>
          </w:p>
        </w:tc>
        <w:tc>
          <w:tcPr>
            <w:tcW w:type="dxa" w:w="32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5.42</w:t>
            </w:r>
          </w:p>
        </w:tc>
        <w:tc>
          <w:tcPr>
            <w:tcW w:type="dxa" w:w="28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44%</w:t>
            </w:r>
          </w:p>
        </w:tc>
      </w:tr>
      <w:tr>
        <w:trPr>
          <w:cantSplit/>
        </w:trPr>
        <w:tc>
          <w:tcPr>
            <w:tcW w:type="dxa" w:w="56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SetEncoder + MAPPO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7.74</w:t>
            </w:r>
          </w:p>
        </w:tc>
        <w:tc>
          <w:tcPr>
            <w:tcW w:type="dxa" w:w="3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5.36</w:t>
            </w:r>
          </w:p>
        </w:tc>
        <w:tc>
          <w:tcPr>
            <w:tcW w:type="dxa" w:w="2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45%</w:t>
            </w:r>
          </w:p>
        </w:tc>
      </w:tr>
      <w:tr>
        <w:trPr>
          <w:cantSplit/>
        </w:trPr>
        <w:tc>
          <w:tcPr>
            <w:tcW w:type="dxa" w:w="56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NoHistory + MAPPO</w:t>
            </w:r>
          </w:p>
        </w:tc>
        <w:tc>
          <w:tcPr>
            <w:tcW w:type="dxa" w:w="30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6.58</w:t>
            </w:r>
          </w:p>
        </w:tc>
        <w:tc>
          <w:tcPr>
            <w:tcW w:type="dxa" w:w="32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4.70</w:t>
            </w:r>
          </w:p>
        </w:tc>
        <w:tc>
          <w:tcPr>
            <w:tcW w:type="dxa" w:w="28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37%</w:t>
            </w:r>
          </w:p>
        </w:tc>
      </w:tr>
      <w:tr>
        <w:trPr>
          <w:cantSplit/>
        </w:trPr>
        <w:tc>
          <w:tcPr>
            <w:tcW w:type="dxa" w:w="56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Reference: no defence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0.00</w:t>
            </w:r>
          </w:p>
        </w:tc>
        <w:tc>
          <w:tcPr>
            <w:tcW w:type="dxa" w:w="3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0.00</w:t>
            </w:r>
          </w:p>
        </w:tc>
        <w:tc>
          <w:tcPr>
            <w:tcW w:type="dxa" w:w="2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24%</w:t>
            </w:r>
          </w:p>
        </w:tc>
      </w:tr>
      <w:tr>
        <w:trPr>
          <w:cantSplit/>
        </w:trPr>
        <w:tc>
          <w:tcPr>
            <w:tcW w:type="dxa" w:w="56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Reference: random decoys</w:t>
            </w:r>
          </w:p>
        </w:tc>
        <w:tc>
          <w:tcPr>
            <w:tcW w:type="dxa" w:w="30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2.10</w:t>
            </w:r>
          </w:p>
        </w:tc>
        <w:tc>
          <w:tcPr>
            <w:tcW w:type="dxa" w:w="32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1.89</w:t>
            </w:r>
          </w:p>
        </w:tc>
        <w:tc>
          <w:tcPr>
            <w:tcW w:type="dxa" w:w="28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28%</w:t>
            </w:r>
          </w:p>
        </w:tc>
      </w:tr>
      <w:tr>
        <w:trPr>
          <w:cantSplit/>
        </w:trPr>
        <w:tc>
          <w:tcPr>
            <w:tcW w:type="dxa" w:w="56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Reference: best fixed decoys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4.36</w:t>
            </w:r>
          </w:p>
        </w:tc>
        <w:tc>
          <w:tcPr>
            <w:tcW w:type="dxa" w:w="3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3.34</w:t>
            </w:r>
          </w:p>
        </w:tc>
        <w:tc>
          <w:tcPr>
            <w:tcW w:type="dxa" w:w="2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40%</w:t>
            </w:r>
          </w:p>
        </w:tc>
      </w:tr>
      <w:tr>
        <w:trPr>
          <w:cantSplit/>
        </w:trPr>
        <w:tc>
          <w:tcPr>
            <w:tcW w:type="dxa" w:w="56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Reference: reactive rule</w:t>
            </w:r>
          </w:p>
        </w:tc>
        <w:tc>
          <w:tcPr>
            <w:tcW w:type="dxa" w:w="30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4.58</w:t>
            </w:r>
          </w:p>
        </w:tc>
        <w:tc>
          <w:tcPr>
            <w:tcW w:type="dxa" w:w="32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3.26</w:t>
            </w:r>
          </w:p>
        </w:tc>
        <w:tc>
          <w:tcPr>
            <w:tcW w:type="dxa" w:w="28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28%</w:t>
            </w:r>
          </w:p>
        </w:tc>
      </w:tr>
      <w:tr>
        <w:trPr>
          <w:cantSplit/>
        </w:trPr>
        <w:tc>
          <w:tcPr>
            <w:tcW w:type="dxa" w:w="56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Reference: planner told the attack script</w:t>
            </w:r>
          </w:p>
        </w:tc>
        <w:tc>
          <w:tcPr>
            <w:tcW w:type="dxa" w:w="30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9.14</w:t>
            </w:r>
          </w:p>
        </w:tc>
        <w:tc>
          <w:tcPr>
            <w:tcW w:type="dxa" w:w="32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6.22</w:t>
            </w:r>
          </w:p>
        </w:tc>
        <w:tc>
          <w:tcPr>
            <w:tcW w:type="dxa" w:w="28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49%</w:t>
            </w:r>
          </w:p>
        </w:tc>
      </w:tr>
    </w:tbl>
    <w:p>
      <w:pPr>
        <w:spacing w:after="160" w:before="120" w:line="300"/>
        <w:jc w:val="left"/>
      </w:pPr>
      <w:r>
        <w:rPr>
          <w:rFonts w:ascii="Calibri" w:cs="Calibri" w:eastAsia="Calibri" w:hAnsi="Calibri"/>
          <w:b/>
          <w:bCs/>
          <w:color w:val="5B6B7C"/>
          <w:sz w:val="23"/>
          <w:szCs w:val="23"/>
        </w:rPr>
        <w:t xml:space="preserve">Dwell time</w:t>
      </w:r>
      <w:r>
        <w:rPr>
          <w:rFonts w:ascii="Calibri" w:cs="Calibri" w:eastAsia="Calibri" w:hAnsi="Calibri"/>
          <w:color w:val="5B6B7C"/>
          <w:sz w:val="23"/>
          <w:szCs w:val="23"/>
        </w:rPr>
        <w:t xml:space="preserve"> = steps the attacker spends interacting with decoys.  </w:t>
      </w:r>
      <w:r>
        <w:rPr>
          <w:rFonts w:ascii="Calibri" w:cs="Calibri" w:eastAsia="Calibri" w:hAnsi="Calibri"/>
          <w:b/>
          <w:bCs/>
          <w:color w:val="5B6B7C"/>
          <w:sz w:val="23"/>
          <w:szCs w:val="23"/>
        </w:rPr>
        <w:t xml:space="preserve">Interaction depth</w:t>
      </w:r>
      <w:r>
        <w:rPr>
          <w:rFonts w:ascii="Calibri" w:cs="Calibri" w:eastAsia="Calibri" w:hAnsi="Calibri"/>
          <w:color w:val="5B6B7C"/>
          <w:sz w:val="23"/>
          <w:szCs w:val="23"/>
        </w:rPr>
        <w:t xml:space="preserve"> = distinct ATT&amp;CK techniques it reveals inside decoys.  </w:t>
      </w:r>
      <w:r>
        <w:rPr>
          <w:rFonts w:ascii="Calibri" w:cs="Calibri" w:eastAsia="Calibri" w:hAnsi="Calibri"/>
          <w:b/>
          <w:bCs/>
          <w:color w:val="5B6B7C"/>
          <w:sz w:val="23"/>
          <w:szCs w:val="23"/>
        </w:rPr>
        <w:t xml:space="preserve">Asset protection</w:t>
      </w:r>
      <w:r>
        <w:rPr>
          <w:rFonts w:ascii="Calibri" w:cs="Calibri" w:eastAsia="Calibri" w:hAnsi="Calibri"/>
          <w:color w:val="5B6B7C"/>
          <w:sz w:val="23"/>
          <w:szCs w:val="23"/>
        </w:rPr>
        <w:t xml:space="preserve"> = share of attacks that never reach their goal.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4.2  Pre-registered hypotheses  (statistically corrected for multiple tests)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7400"/>
        <w:gridCol w:w="3978"/>
        <w:gridCol w:w="3300"/>
      </w:tblGrid>
      <w:tr>
        <w:trPr>
          <w:cantSplit/>
          <w:tblHeader/>
        </w:trPr>
        <w:tc>
          <w:tcPr>
            <w:tcW w:type="dxa" w:w="74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Question</w:t>
            </w:r>
          </w:p>
        </w:tc>
        <w:tc>
          <w:tcPr>
            <w:tcW w:type="dxa" w:w="3978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Result</w:t>
            </w:r>
          </w:p>
        </w:tc>
        <w:tc>
          <w:tcPr>
            <w:tcW w:type="dxa" w:w="33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7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Does attacker-intent modelling help?  (Transformer vs NoHistory)</w:t>
            </w:r>
          </w:p>
        </w:tc>
        <w:tc>
          <w:tcPr>
            <w:tcW w:type="dxa" w:w="39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+1.82 dwell (+28%),  +1.03 depth</w:t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5"/>
                <w:szCs w:val="25"/>
              </w:rPr>
              <w:t xml:space="preserve">Supported  (p &lt; 0.001)</w:t>
            </w:r>
          </w:p>
        </w:tc>
      </w:tr>
      <w:tr>
        <w:trPr>
          <w:cantSplit/>
        </w:trPr>
        <w:tc>
          <w:tcPr>
            <w:tcW w:type="dxa" w:w="74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Does the order of attacker actions matter?  (Transformer vs SetEncoder)</w:t>
            </w:r>
          </w:p>
        </w:tc>
        <w:tc>
          <w:tcPr>
            <w:tcW w:type="dxa" w:w="39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+0.66 dwell,  +0.37 depth</w:t>
            </w:r>
          </w:p>
        </w:tc>
        <w:tc>
          <w:tcPr>
            <w:tcW w:type="dxa" w:w="3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5"/>
                <w:szCs w:val="25"/>
              </w:rPr>
              <w:t xml:space="preserve">Supported  (p ≈ 0.01)</w:t>
            </w:r>
          </w:p>
        </w:tc>
      </w:tr>
      <w:tr>
        <w:trPr>
          <w:cantSplit/>
        </w:trPr>
        <w:tc>
          <w:tcPr>
            <w:tcW w:type="dxa" w:w="7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Is the Transformer better than the GRU?</w:t>
            </w:r>
          </w:p>
        </w:tc>
        <w:tc>
          <w:tcPr>
            <w:tcW w:type="dxa" w:w="39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−0.06 dwell</w:t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5A80"/>
                <w:sz w:val="25"/>
                <w:szCs w:val="25"/>
              </w:rPr>
              <w:t xml:space="preserve">Statistically equivalent</w:t>
            </w:r>
          </w:p>
        </w:tc>
      </w:tr>
      <w:tr>
        <w:trPr>
          <w:cantSplit/>
        </w:trPr>
        <w:tc>
          <w:tcPr>
            <w:tcW w:type="dxa" w:w="74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Is the Transformer better than the LSTM?</w:t>
            </w:r>
          </w:p>
        </w:tc>
        <w:tc>
          <w:tcPr>
            <w:tcW w:type="dxa" w:w="39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−0.05 dwell</w:t>
            </w:r>
          </w:p>
        </w:tc>
        <w:tc>
          <w:tcPr>
            <w:tcW w:type="dxa" w:w="3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5A80"/>
                <w:sz w:val="25"/>
                <w:szCs w:val="25"/>
              </w:rPr>
              <w:t xml:space="preserve">Statistically equivalent</w:t>
            </w:r>
          </w:p>
        </w:tc>
      </w:tr>
      <w:tr>
        <w:trPr>
          <w:cantSplit/>
        </w:trPr>
        <w:tc>
          <w:tcPr>
            <w:tcW w:type="dxa" w:w="74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Does centralised training help?  (MAPPO vs IPPO)</w:t>
            </w:r>
          </w:p>
        </w:tc>
        <w:tc>
          <w:tcPr>
            <w:tcW w:type="dxa" w:w="39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+0.48 dwell (+6%)</w:t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25"/>
                <w:szCs w:val="25"/>
              </w:rPr>
              <w:t xml:space="preserve">Not significant  (p = 0.06)</w:t>
            </w:r>
          </w:p>
        </w:tc>
      </w:tr>
    </w:tbl>
    <w:p>
      <w:pPr>
        <w:spacing w:after="200"/>
      </w:pPr>
    </w:p>
    <w:p>
      <w:pPr>
        <w:spacing w:after="160" w:before="0" w:line="300"/>
        <w:jc w:val="left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Learned coordination: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about one breadcrumb → partner-decoy chain per attack, almost no breadcrumbs laid without a partner, and decoy capacity rarely exceeded. The agents coordinate without sending each other messages.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</w:rPr>
        <w:t xml:space="preserve">4.3  Generalisation to an unseen attack script  (train on 6 scripts, test on the 7th)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6478"/>
        <w:gridCol w:w="4100"/>
        <w:gridCol w:w="4100"/>
      </w:tblGrid>
      <w:tr>
        <w:trPr>
          <w:cantSplit/>
          <w:tblHeader/>
        </w:trPr>
        <w:tc>
          <w:tcPr>
            <w:tcW w:type="dxa" w:w="6478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Defender team</w:t>
            </w:r>
          </w:p>
        </w:tc>
        <w:tc>
          <w:tcPr>
            <w:tcW w:type="dxa" w:w="41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Dwell on an unseen attack</w:t>
            </w:r>
          </w:p>
        </w:tc>
        <w:tc>
          <w:tcPr>
            <w:tcW w:type="dxa" w:w="41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Dwell on seen attacks (4.1)</w:t>
            </w:r>
          </w:p>
        </w:tc>
      </w:tr>
      <w:tr>
        <w:trPr>
          <w:cantSplit/>
        </w:trPr>
        <w:tc>
          <w:tcPr>
            <w:tcW w:type="dxa" w:w="64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Transformer + MAPPO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3.60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8.40</w:t>
            </w:r>
          </w:p>
        </w:tc>
      </w:tr>
      <w:tr>
        <w:trPr>
          <w:cantSplit/>
        </w:trPr>
        <w:tc>
          <w:tcPr>
            <w:tcW w:type="dxa" w:w="64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GRU + MAPPO</w:t>
            </w:r>
          </w:p>
        </w:tc>
        <w:tc>
          <w:tcPr>
            <w:tcW w:type="dxa" w:w="4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3.46</w:t>
            </w:r>
          </w:p>
        </w:tc>
        <w:tc>
          <w:tcPr>
            <w:tcW w:type="dxa" w:w="4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8.46</w:t>
            </w:r>
          </w:p>
        </w:tc>
      </w:tr>
      <w:tr>
        <w:trPr>
          <w:cantSplit/>
        </w:trPr>
        <w:tc>
          <w:tcPr>
            <w:tcW w:type="dxa" w:w="64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SetEncoder + MAPPO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3.56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7.74</w:t>
            </w:r>
          </w:p>
        </w:tc>
      </w:tr>
      <w:tr>
        <w:trPr>
          <w:cantSplit/>
        </w:trPr>
        <w:tc>
          <w:tcPr>
            <w:tcW w:type="dxa" w:w="64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NoHistory + MAPPO</w:t>
            </w:r>
          </w:p>
        </w:tc>
        <w:tc>
          <w:tcPr>
            <w:tcW w:type="dxa" w:w="4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3.69</w:t>
            </w:r>
          </w:p>
        </w:tc>
        <w:tc>
          <w:tcPr>
            <w:tcW w:type="dxa" w:w="4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6.58</w:t>
            </w:r>
          </w:p>
        </w:tc>
      </w:tr>
      <w:tr>
        <w:trPr>
          <w:cantSplit/>
        </w:trPr>
        <w:tc>
          <w:tcPr>
            <w:tcW w:type="dxa" w:w="64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Reference: reactive rule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4.62</w:t>
            </w:r>
          </w:p>
        </w:tc>
        <w:tc>
          <w:tcPr>
            <w:tcW w:type="dxa" w:w="4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4.58</w:t>
            </w:r>
          </w:p>
        </w:tc>
      </w:tr>
      <w:tr>
        <w:trPr>
          <w:cantSplit/>
        </w:trPr>
        <w:tc>
          <w:tcPr>
            <w:tcW w:type="dxa" w:w="64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Reference: best fixed decoys</w:t>
            </w:r>
          </w:p>
        </w:tc>
        <w:tc>
          <w:tcPr>
            <w:tcW w:type="dxa" w:w="4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3.25</w:t>
            </w:r>
          </w:p>
        </w:tc>
        <w:tc>
          <w:tcPr>
            <w:tcW w:type="dxa" w:w="4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C"/>
                <w:sz w:val="25"/>
                <w:szCs w:val="25"/>
              </w:rPr>
              <w:t xml:space="preserve">4.36</w:t>
            </w:r>
          </w:p>
        </w:tc>
      </w:tr>
    </w:tbl>
    <w:p>
      <w:pPr>
        <w:spacing w:after="160"/>
      </w:pPr>
    </w:p>
    <w:p>
      <w:pPr>
        <w:spacing w:after="160" w:before="0" w:line="300"/>
        <w:jc w:val="left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Verdict: </w:t>
      </w:r>
      <w:r>
        <w:rPr>
          <w:rFonts w:ascii="Calibri" w:cs="Calibri" w:eastAsia="Calibri" w:hAnsi="Calibri"/>
          <w:b/>
          <w:bCs/>
          <w:color w:val="B42318"/>
          <w:sz w:val="28"/>
          <w:szCs w:val="28"/>
        </w:rPr>
        <w:t xml:space="preserve">fails the pre-registered validity check. </w:t>
      </w:r>
      <w:r>
        <w:rPr>
          <w:rFonts w:ascii="Calibri" w:cs="Calibri" w:eastAsia="Calibri" w:hAnsi="Calibri"/>
          <w:color w:val="1F2933"/>
          <w:sz w:val="28"/>
          <w:szCs w:val="28"/>
        </w:rPr>
        <w:t xml:space="preserve">On an unseen attack every learned team loses to the simple reactive rule, and attacker-intent modelling no longer helps.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4.4  What the results mean</w:t>
      </w:r>
    </w:p>
    <w:tbl>
      <w:tblPr>
        <w:tblW w:type="dxa" w:w="14678"/>
        <w:tblBorders>
          <w:top w:val="single" w:color="2E6DA4" w:sz="6"/>
          <w:left w:val="single" w:color="2E6DA4" w:sz="6"/>
          <w:bottom w:val="single" w:color="2E6DA4" w:sz="6"/>
          <w:right w:val="single" w:color="2E6DA4" w:sz="6"/>
          <w:insideH w:val="none"/>
          <w:insideV w:val="none"/>
        </w:tblBorders>
      </w:tblPr>
      <w:tblGrid>
        <w:gridCol w:w="14678"/>
      </w:tblGrid>
      <w:tr>
        <w:trPr>
          <w:cantSplit/>
        </w:trPr>
        <w:tc>
          <w:tcPr>
            <w:tcW w:type="dxa" w:w="14678"/>
            <w:shd w:fill="EAF1F8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8"/>
                <w:szCs w:val="28"/>
              </w:rPr>
              <w:t xml:space="preserve">Genuine multi-agent learning works. </w:t>
            </w:r>
            <w:r>
              <w:rPr>
                <w:rFonts w:ascii="Calibri" w:cs="Calibri" w:eastAsia="Calibri" w:hAnsi="Calibri"/>
                <w:color w:val="1F2933"/>
                <w:sz w:val="28"/>
                <w:szCs w:val="28"/>
              </w:rPr>
              <w:t xml:space="preserve">The team almost doubles dwell time over the best fixed decoys and closes 84% of the gap to a planner that is told the attack script.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8"/>
                <w:szCs w:val="28"/>
              </w:rPr>
              <w:t xml:space="preserve">Knowing the attacker's intent is the main driver </w:t>
            </w:r>
            <w:r>
              <w:rPr>
                <w:rFonts w:ascii="Calibri" w:cs="Calibri" w:eastAsia="Calibri" w:hAnsi="Calibri"/>
                <w:color w:val="1F2933"/>
                <w:sz w:val="28"/>
                <w:szCs w:val="28"/>
              </w:rPr>
              <w:t xml:space="preserve">(+28% dwell), and the order of its actions matters too.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8"/>
                <w:szCs w:val="28"/>
              </w:rPr>
              <w:t xml:space="preserve">Attention is as good as recurrence, not better. </w:t>
            </w:r>
            <w:r>
              <w:rPr>
                <w:rFonts w:ascii="Calibri" w:cs="Calibri" w:eastAsia="Calibri" w:hAnsi="Calibri"/>
                <w:color w:val="1F2933"/>
                <w:sz w:val="28"/>
                <w:szCs w:val="28"/>
              </w:rPr>
              <w:t xml:space="preserve">This matches our earlier experiments.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8"/>
                <w:szCs w:val="28"/>
              </w:rPr>
              <w:t xml:space="preserve">The learned knowledge is specific to the attacks seen in training. </w:t>
            </w:r>
            <w:r>
              <w:rPr>
                <w:rFonts w:ascii="Calibri" w:cs="Calibri" w:eastAsia="Calibri" w:hAnsi="Calibri"/>
                <w:color w:val="1F2933"/>
                <w:sz w:val="28"/>
                <w:szCs w:val="28"/>
              </w:rPr>
              <w:t xml:space="preserve">It does not transfer to a new attack script: with only seven scripts that use largely different techniques, this is the main limitation.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5. How we will compare with published papers</w:t>
      </w:r>
    </w:p>
    <w:p>
      <w:pPr>
        <w:spacing w:after="220" w:before="0" w:line="300"/>
        <w:jc w:val="left"/>
      </w:pPr>
      <w:r>
        <w:rPr>
          <w:rFonts w:ascii="Calibri" w:cs="Calibri" w:eastAsia="Calibri" w:hAnsi="Calibri"/>
          <w:i/>
          <w:iCs/>
          <w:color w:val="5B6B7C"/>
          <w:sz w:val="27"/>
          <w:szCs w:val="27"/>
        </w:rPr>
        <w:t xml:space="preserve">No published system does the same task, so we compare capability by capability, inside our own environment.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3600"/>
        <w:gridCol w:w="8378"/>
        <w:gridCol w:w="2700"/>
      </w:tblGrid>
      <w:tr>
        <w:trPr>
          <w:cantSplit/>
          <w:tblHeader/>
        </w:trPr>
        <w:tc>
          <w:tcPr>
            <w:tcW w:type="dxa" w:w="36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Step</w:t>
            </w:r>
          </w:p>
        </w:tc>
        <w:tc>
          <w:tcPr>
            <w:tcW w:type="dxa" w:w="8378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What we do</w:t>
            </w:r>
          </w:p>
        </w:tc>
        <w:tc>
          <w:tcPr>
            <w:tcW w:type="dxa" w:w="27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1. Literature positioning</w:t>
            </w:r>
          </w:p>
        </w:tc>
        <w:tc>
          <w:tcPr>
            <w:tcW w:type="dxa" w:w="83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Describe what each prior system does and does not do (Table 7.1).</w:t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5"/>
                <w:szCs w:val="25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36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2. Adapted baselines</w:t>
            </w:r>
          </w:p>
        </w:tc>
        <w:tc>
          <w:tcPr>
            <w:tcW w:type="dxa" w:w="83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Rebuild each prior system's core decision rule inside TEMARL's environment, with the same attacker, training budget, seeds and test attacks (Table 7.2).</w:t>
            </w:r>
          </w:p>
        </w:tc>
        <w:tc>
          <w:tcPr>
            <w:tcW w:type="dxa" w:w="27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25"/>
                <w:szCs w:val="25"/>
              </w:rPr>
              <w:t xml:space="preserve">2 of 4 done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3. Pre-registration</w:t>
            </w:r>
          </w:p>
        </w:tc>
        <w:tc>
          <w:tcPr>
            <w:tcW w:type="dxa" w:w="83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Write down the new comparison's hypotheses and statistical tests before running it.</w:t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5A80"/>
                <w:sz w:val="25"/>
                <w:szCs w:val="25"/>
              </w:rPr>
              <w:t xml:space="preserve">Next step</w:t>
            </w:r>
          </w:p>
        </w:tc>
      </w:tr>
    </w:tbl>
    <w:p>
      <w:pPr>
        <w:spacing w:after="300"/>
      </w:pPr>
    </w:p>
    <w:tbl>
      <w:tblPr>
        <w:tblW w:type="dxa" w:w="14678"/>
        <w:tblBorders>
          <w:top w:val="single" w:color="2E6DA4" w:sz="6"/>
          <w:left w:val="single" w:color="2E6DA4" w:sz="6"/>
          <w:bottom w:val="single" w:color="2E6DA4" w:sz="6"/>
          <w:right w:val="single" w:color="2E6DA4" w:sz="6"/>
          <w:insideH w:val="none"/>
          <w:insideV w:val="none"/>
        </w:tblBorders>
      </w:tblPr>
      <w:tblGrid>
        <w:gridCol w:w="14678"/>
      </w:tblGrid>
      <w:tr>
        <w:trPr>
          <w:cantSplit/>
        </w:trPr>
        <w:tc>
          <w:tcPr>
            <w:tcW w:type="dxa" w:w="14678"/>
            <w:shd w:fill="EAF1F8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8"/>
                <w:szCs w:val="28"/>
              </w:rPr>
              <w:t xml:space="preserve">How we will word the claims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8"/>
                <w:szCs w:val="28"/>
              </w:rPr>
              <w:t xml:space="preserve">We will claim:  </w:t>
            </w:r>
            <w:r>
              <w:rPr>
                <w:rFonts w:ascii="Calibri" w:cs="Calibri" w:eastAsia="Calibri" w:hAnsi="Calibri"/>
                <w:color w:val="1F2933"/>
                <w:sz w:val="28"/>
                <w:szCs w:val="28"/>
              </w:rPr>
              <w:t xml:space="preserve">"TEMARL outperforms a placement-only (Hawkeyes-style) policy in the same environment."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8"/>
                <w:szCs w:val="28"/>
              </w:rPr>
              <w:t xml:space="preserve">We will not claim:  </w:t>
            </w:r>
            <w:r>
              <w:rPr>
                <w:rFonts w:ascii="Calibri" w:cs="Calibri" w:eastAsia="Calibri" w:hAnsi="Calibri"/>
                <w:color w:val="1F2933"/>
                <w:sz w:val="28"/>
                <w:szCs w:val="28"/>
              </w:rPr>
              <w:t xml:space="preserve">"TEMARL outperforms Hawkeyes."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6. Why a direct comparison is not possible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4300"/>
        <w:gridCol w:w="10378"/>
      </w:tblGrid>
      <w:tr>
        <w:trPr>
          <w:cantSplit/>
          <w:tblHeader/>
        </w:trPr>
        <w:tc>
          <w:tcPr>
            <w:tcW w:type="dxa" w:w="43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Reason</w:t>
            </w:r>
          </w:p>
        </w:tc>
        <w:tc>
          <w:tcPr>
            <w:tcW w:type="dxa" w:w="10378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What it means in practice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Different data and attackers</w:t>
            </w:r>
          </w:p>
        </w:tc>
        <w:tc>
          <w:tcPr>
            <w:tcW w:type="dxa" w:w="103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Other papers use IoT traffic, industrial protocols, honeypot logs or scripted attackers. TEMARL uses ATT&amp;CK technique sequences from real CAM-LDS attack scripts.</w:t>
            </w:r>
          </w:p>
        </w:tc>
      </w:tr>
      <w:tr>
        <w:trPr>
          <w:cantSplit/>
        </w:trPr>
        <w:tc>
          <w:tcPr>
            <w:tcW w:type="dxa" w:w="4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Different simulators</w:t>
            </w:r>
          </w:p>
        </w:tc>
        <w:tc>
          <w:tcPr>
            <w:tcW w:type="dxa" w:w="103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Each paper builds its own network, attacker and defence rules, so a number from one simulator means something different in another.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Code or parameters not published</w:t>
            </w:r>
          </w:p>
        </w:tc>
        <w:tc>
          <w:tcPr>
            <w:tcW w:type="dxa" w:w="103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Huang &amp; Zhu do not publish their simulation parameters. Our rebuild of Hawkeyes does not reproduce its published results (gaps of up to 18 points).</w:t>
            </w:r>
          </w:p>
        </w:tc>
      </w:tr>
      <w:tr>
        <w:trPr>
          <w:cantSplit/>
        </w:trPr>
        <w:tc>
          <w:tcPr>
            <w:tcW w:type="dxa" w:w="4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Different decisions</w:t>
            </w:r>
          </w:p>
        </w:tc>
        <w:tc>
          <w:tcPr>
            <w:tcW w:type="dxa" w:w="103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Others decide where to place a honeypot, whether to deploy deception, or how strongly to interact. TEMARL decides which decoy type each zone deploys, coordinated across four agents.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Different metrics</w:t>
            </w:r>
          </w:p>
        </w:tc>
        <w:tc>
          <w:tcPr>
            <w:tcW w:type="dxa" w:w="103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Others report trapping rate, engagement time or attack-path interception. TEMARL reports dwell time, interaction depth, generalisation to unseen attacks and asset protection.</w:t>
            </w:r>
          </w:p>
        </w:tc>
      </w:tr>
    </w:tbl>
    <w:p>
      <w:pPr>
        <w:spacing w:after="300"/>
      </w:pPr>
    </w:p>
    <w:tbl>
      <w:tblPr>
        <w:tblW w:type="dxa" w:w="14678"/>
        <w:tblBorders>
          <w:top w:val="single" w:color="2E6DA4" w:sz="6"/>
          <w:left w:val="single" w:color="2E6DA4" w:sz="6"/>
          <w:bottom w:val="single" w:color="2E6DA4" w:sz="6"/>
          <w:right w:val="single" w:color="2E6DA4" w:sz="6"/>
          <w:insideH w:val="none"/>
          <w:insideV w:val="none"/>
        </w:tblBorders>
      </w:tblPr>
      <w:tblGrid>
        <w:gridCol w:w="14678"/>
      </w:tblGrid>
      <w:tr>
        <w:trPr>
          <w:cantSplit/>
        </w:trPr>
        <w:tc>
          <w:tcPr>
            <w:tcW w:type="dxa" w:w="14678"/>
            <w:shd w:fill="EAF1F8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8"/>
                <w:szCs w:val="28"/>
              </w:rPr>
              <w:t xml:space="preserve">Therefore</w:t>
            </w:r>
          </w:p>
          <w:p>
            <w:pPr>
              <w:spacing w:after="80" w:line="300"/>
            </w:pPr>
            <w:r>
              <w:rPr>
                <w:rFonts w:ascii="Calibri" w:cs="Calibri" w:eastAsia="Calibri" w:hAnsi="Calibri"/>
                <w:color w:val="1F2933"/>
                <w:sz w:val="28"/>
                <w:szCs w:val="28"/>
              </w:rPr>
              <w:t xml:space="preserve">A statement like "TEMARL scores X% and Paper A scores Y%" is only fair when both run in the same environment, against the same attacker, with the same metric. Adapted baselines give us exactly that.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7. Comparison tables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7.1  What each system does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2900"/>
        <w:gridCol w:w="2100"/>
        <w:gridCol w:w="1500"/>
        <w:gridCol w:w="2978"/>
        <w:gridCol w:w="2700"/>
        <w:gridCol w:w="250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System</w:t>
            </w:r>
          </w:p>
        </w:tc>
        <w:tc>
          <w:tcPr>
            <w:tcW w:type="dxa" w:w="21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Learning</w:t>
            </w:r>
          </w:p>
        </w:tc>
        <w:tc>
          <w:tcPr>
            <w:tcW w:type="dxa" w:w="15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Multi-agent</w:t>
            </w:r>
          </w:p>
        </w:tc>
        <w:tc>
          <w:tcPr>
            <w:tcW w:type="dxa" w:w="2978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What it decides</w:t>
            </w:r>
          </w:p>
        </w:tc>
        <w:tc>
          <w:tcPr>
            <w:tcW w:type="dxa" w:w="27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Uses attacker history</w:t>
            </w:r>
          </w:p>
        </w:tc>
        <w:tc>
          <w:tcPr>
            <w:tcW w:type="dxa" w:w="25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Main metric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Hawkeyes</w:t>
            </w:r>
            <w:r>
              <w:rPr>
                <w:rFonts w:ascii="Calibri" w:cs="Calibri" w:eastAsia="Calibri" w:hAnsi="Calibri"/>
                <w:color w:val="5B6B7C"/>
                <w:sz w:val="25"/>
                <w:szCs w:val="25"/>
              </w:rPr>
              <w:t xml:space="preserve">  (Computer Networks, 2026)</w:t>
            </w:r>
          </w:p>
        </w:tc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Hierarchical multi-agent RL</w:t>
            </w:r>
          </w:p>
        </w:tc>
        <w:tc>
          <w:tcPr>
            <w:tcW w:type="dxa" w:w="1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Yes</w:t>
            </w:r>
          </w:p>
        </w:tc>
        <w:tc>
          <w:tcPr>
            <w:tcW w:type="dxa" w:w="29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Where to place honeypots</w:t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Partly: reacts to the observed attack stage</w:t>
            </w:r>
          </w:p>
        </w:tc>
        <w:tc>
          <w:tcPr>
            <w:tcW w:type="dxa" w:w="2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Defence success rate</w:t>
            </w:r>
          </w:p>
        </w:tc>
      </w:tr>
      <w:tr>
        <w:trPr>
          <w:cantSplit/>
        </w:trPr>
        <w:tc>
          <w:tcPr>
            <w:tcW w:type="dxa" w:w="29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Zambianco et al.</w:t>
            </w:r>
            <w:r>
              <w:rPr>
                <w:rFonts w:ascii="Calibri" w:cs="Calibri" w:eastAsia="Calibri" w:hAnsi="Calibri"/>
                <w:color w:val="5B6B7C"/>
                <w:sz w:val="25"/>
                <w:szCs w:val="25"/>
              </w:rPr>
              <w:t xml:space="preserve">  (Computers &amp; Security)</w:t>
            </w:r>
          </w:p>
        </w:tc>
        <w:tc>
          <w:tcPr>
            <w:tcW w:type="dxa" w:w="2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None: one-time optimisation</w:t>
            </w:r>
          </w:p>
        </w:tc>
        <w:tc>
          <w:tcPr>
            <w:tcW w:type="dxa" w:w="15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No</w:t>
            </w:r>
          </w:p>
        </w:tc>
        <w:tc>
          <w:tcPr>
            <w:tcW w:type="dxa" w:w="29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Which decoys to deploy, chosen once to cover ATT&amp;CK techniques</w:t>
            </w:r>
          </w:p>
        </w:tc>
        <w:tc>
          <w:tcPr>
            <w:tcW w:type="dxa" w:w="27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Uses the ATT&amp;CK catalogue, not the live attack history</w:t>
            </w:r>
          </w:p>
        </w:tc>
        <w:tc>
          <w:tcPr>
            <w:tcW w:type="dxa" w:w="25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Attack-path interception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Li et al.</w:t>
            </w:r>
            <w:r>
              <w:rPr>
                <w:rFonts w:ascii="Calibri" w:cs="Calibri" w:eastAsia="Calibri" w:hAnsi="Calibri"/>
                <w:color w:val="5B6B7C"/>
                <w:sz w:val="25"/>
                <w:szCs w:val="25"/>
              </w:rPr>
              <w:t xml:space="preserve">  (Scientific Reports, 2025)</w:t>
            </w:r>
          </w:p>
        </w:tc>
        <w:tc>
          <w:tcPr>
            <w:tcW w:type="dxa" w:w="21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Single-agent RL (PPO)</w:t>
            </w:r>
          </w:p>
        </w:tc>
        <w:tc>
          <w:tcPr>
            <w:tcW w:type="dxa" w:w="1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No</w:t>
            </w:r>
          </w:p>
        </w:tc>
        <w:tc>
          <w:tcPr>
            <w:tcW w:type="dxa" w:w="29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Where to deploy deception resources</w:t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No: reconnaissance-only attacker</w:t>
            </w:r>
          </w:p>
        </w:tc>
        <w:tc>
          <w:tcPr>
            <w:tcW w:type="dxa" w:w="25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Defence success probability</w:t>
            </w:r>
          </w:p>
        </w:tc>
      </w:tr>
      <w:tr>
        <w:trPr>
          <w:cantSplit/>
        </w:trPr>
        <w:tc>
          <w:tcPr>
            <w:tcW w:type="dxa" w:w="29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Huang &amp; Zhu</w:t>
            </w:r>
            <w:r>
              <w:rPr>
                <w:rFonts w:ascii="Calibri" w:cs="Calibri" w:eastAsia="Calibri" w:hAnsi="Calibri"/>
                <w:color w:val="5B6B7C"/>
                <w:sz w:val="25"/>
                <w:szCs w:val="25"/>
              </w:rPr>
              <w:t xml:space="preserve">  (GameSec, 2019)</w:t>
            </w:r>
          </w:p>
        </w:tc>
        <w:tc>
          <w:tcPr>
            <w:tcW w:type="dxa" w:w="21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Single-agent RL (semi-Markov)</w:t>
            </w:r>
          </w:p>
        </w:tc>
        <w:tc>
          <w:tcPr>
            <w:tcW w:type="dxa" w:w="15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No</w:t>
            </w:r>
          </w:p>
        </w:tc>
        <w:tc>
          <w:tcPr>
            <w:tcW w:type="dxa" w:w="29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How strongly to engage the attacker inside each honeypot</w:t>
            </w:r>
          </w:p>
        </w:tc>
        <w:tc>
          <w:tcPr>
            <w:tcW w:type="dxa" w:w="27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Attacker's current position only</w:t>
            </w:r>
          </w:p>
        </w:tc>
        <w:tc>
          <w:tcPr>
            <w:tcW w:type="dxa" w:w="25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Engagement time, penetration risk</w:t>
            </w:r>
          </w:p>
        </w:tc>
      </w:tr>
      <w:tr>
        <w:trPr>
          <w:cantSplit/>
        </w:trPr>
        <w:tc>
          <w:tcPr>
            <w:tcW w:type="dxa" w:w="2900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TEMARL</w:t>
            </w:r>
            <w:r>
              <w:rPr>
                <w:rFonts w:ascii="Calibri" w:cs="Calibri" w:eastAsia="Calibri" w:hAnsi="Calibri"/>
                <w:color w:val="5B6B7C"/>
                <w:sz w:val="25"/>
                <w:szCs w:val="25"/>
              </w:rPr>
              <w:t xml:space="preserve">  (ours)</w:t>
            </w:r>
          </w:p>
        </w:tc>
        <w:tc>
          <w:tcPr>
            <w:tcW w:type="dxa" w:w="2100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Multi-agent RL (MAPPO)</w:t>
            </w:r>
          </w:p>
        </w:tc>
        <w:tc>
          <w:tcPr>
            <w:tcW w:type="dxa" w:w="1500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Yes, 4 agents</w:t>
            </w:r>
          </w:p>
        </w:tc>
        <w:tc>
          <w:tcPr>
            <w:tcW w:type="dxa" w:w="2978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Which decoy type each zone deploys, every step, coordinated</w:t>
            </w:r>
          </w:p>
        </w:tc>
        <w:tc>
          <w:tcPr>
            <w:tcW w:type="dxa" w:w="2700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Yes: learned intent from the technique history</w:t>
            </w:r>
          </w:p>
        </w:tc>
        <w:tc>
          <w:tcPr>
            <w:tcW w:type="dxa" w:w="2500"/>
            <w:shd w:fill="EAF1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Dwell time, interaction depth, generalisation, protection</w:t>
            </w:r>
          </w:p>
        </w:tc>
      </w:tr>
    </w:tbl>
    <w:p>
      <w:pPr>
        <w:spacing w:after="16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1F2933"/>
          <w:sz w:val="23"/>
          <w:szCs w:val="23"/>
        </w:rPr>
        <w:t xml:space="preserve">Links:  </w:t>
      </w:r>
      <w:hyperlink w:history="1" r:id="rId9txolpkppaclumrha9jp2">
        <w:r>
          <w:rPr>
            <w:rFonts w:ascii="Calibri" w:cs="Calibri" w:eastAsia="Calibri" w:hAnsi="Calibri"/>
            <w:color w:val="2E6DA4"/>
            <w:sz w:val="23"/>
            <w:szCs w:val="23"/>
            <w:u w:val="single"/>
          </w:rPr>
          <w:t xml:space="preserve">Hawkeyes</w:t>
        </w:r>
      </w:hyperlink>
      <w:r>
        <w:rPr>
          <w:rFonts w:ascii="Calibri" w:cs="Calibri" w:eastAsia="Calibri" w:hAnsi="Calibri"/>
          <w:color w:val="5B6B7C"/>
          <w:sz w:val="23"/>
          <w:szCs w:val="23"/>
        </w:rPr>
        <w:t xml:space="preserve">   ·   </w:t>
      </w:r>
      <w:hyperlink w:history="1" r:id="rIdf3nlgh2aqzvohmm95z5it">
        <w:r>
          <w:rPr>
            <w:rFonts w:ascii="Calibri" w:cs="Calibri" w:eastAsia="Calibri" w:hAnsi="Calibri"/>
            <w:color w:val="2E6DA4"/>
            <w:sz w:val="23"/>
            <w:szCs w:val="23"/>
            <w:u w:val="single"/>
          </w:rPr>
          <w:t xml:space="preserve">Zambianco et al.</w:t>
        </w:r>
      </w:hyperlink>
      <w:r>
        <w:rPr>
          <w:rFonts w:ascii="Calibri" w:cs="Calibri" w:eastAsia="Calibri" w:hAnsi="Calibri"/>
          <w:color w:val="5B6B7C"/>
          <w:sz w:val="23"/>
          <w:szCs w:val="23"/>
        </w:rPr>
        <w:t xml:space="preserve">   ·   </w:t>
      </w:r>
      <w:hyperlink w:history="1" r:id="rIdywqja-zwvr9xoad9nui49">
        <w:r>
          <w:rPr>
            <w:rFonts w:ascii="Calibri" w:cs="Calibri" w:eastAsia="Calibri" w:hAnsi="Calibri"/>
            <w:color w:val="2E6DA4"/>
            <w:sz w:val="23"/>
            <w:szCs w:val="23"/>
            <w:u w:val="single"/>
          </w:rPr>
          <w:t xml:space="preserve">Li et al.</w:t>
        </w:r>
      </w:hyperlink>
      <w:r>
        <w:rPr>
          <w:rFonts w:ascii="Calibri" w:cs="Calibri" w:eastAsia="Calibri" w:hAnsi="Calibri"/>
          <w:color w:val="5B6B7C"/>
          <w:sz w:val="23"/>
          <w:szCs w:val="23"/>
        </w:rPr>
        <w:t xml:space="preserve">   ·   </w:t>
      </w:r>
      <w:hyperlink w:history="1" r:id="rId5heluyvzstf0zfj63h6pg">
        <w:r>
          <w:rPr>
            <w:rFonts w:ascii="Calibri" w:cs="Calibri" w:eastAsia="Calibri" w:hAnsi="Calibri"/>
            <w:color w:val="2E6DA4"/>
            <w:sz w:val="23"/>
            <w:szCs w:val="23"/>
            <w:u w:val="single"/>
          </w:rPr>
          <w:t xml:space="preserve">Huang &amp; Zhu</w:t>
        </w:r>
      </w:hyperlink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7.2  Adapted baselines inside TEMARL's environment</w:t>
      </w:r>
    </w:p>
    <w:tbl>
      <w:tblPr>
        <w:tblW w:type="dxa" w:w="14678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3300"/>
        <w:gridCol w:w="4300"/>
        <w:gridCol w:w="3300"/>
        <w:gridCol w:w="3778"/>
      </w:tblGrid>
      <w:tr>
        <w:trPr>
          <w:cantSplit/>
          <w:tblHeader/>
        </w:trPr>
        <w:tc>
          <w:tcPr>
            <w:tcW w:type="dxa" w:w="33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Baseline</w:t>
            </w:r>
          </w:p>
        </w:tc>
        <w:tc>
          <w:tcPr>
            <w:tcW w:type="dxa" w:w="43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Idea taken from</w:t>
            </w:r>
          </w:p>
        </w:tc>
        <w:tc>
          <w:tcPr>
            <w:tcW w:type="dxa" w:w="3300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Capability removed</w:t>
            </w:r>
          </w:p>
        </w:tc>
        <w:tc>
          <w:tcPr>
            <w:tcW w:type="dxa" w:w="3778"/>
            <w:shd w:fill="1F3A5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5"/>
                <w:szCs w:val="25"/>
              </w:rPr>
              <w:t xml:space="preserve">Status and result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NoHistory</w:t>
            </w:r>
          </w:p>
        </w:tc>
        <w:tc>
          <w:tcPr>
            <w:tcW w:type="dxa" w:w="4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RL deception without an intent model (e.g. Li et al.)</w:t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Attacker-intent modelling</w:t>
            </w:r>
          </w:p>
        </w:tc>
        <w:tc>
          <w:tcPr>
            <w:tcW w:type="dxa" w:w="37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5"/>
                <w:szCs w:val="25"/>
              </w:rPr>
              <w:t xml:space="preserve">Done: TEMARL +28% dwell, significant</w:t>
            </w:r>
          </w:p>
        </w:tc>
      </w:tr>
      <w:tr>
        <w:trPr>
          <w:cantSplit/>
        </w:trPr>
        <w:tc>
          <w:tcPr>
            <w:tcW w:type="dxa" w:w="3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IPPO</w:t>
            </w:r>
          </w:p>
        </w:tc>
        <w:tc>
          <w:tcPr>
            <w:tcW w:type="dxa" w:w="4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Independent learners (de Witt et al.)</w:t>
            </w:r>
          </w:p>
        </w:tc>
        <w:tc>
          <w:tcPr>
            <w:tcW w:type="dxa" w:w="3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Centralised training</w:t>
            </w:r>
          </w:p>
        </w:tc>
        <w:tc>
          <w:tcPr>
            <w:tcW w:type="dxa" w:w="37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25"/>
                <w:szCs w:val="25"/>
              </w:rPr>
              <w:t xml:space="preserve">Done: +6%, not significant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Placement-only</w:t>
            </w:r>
          </w:p>
        </w:tc>
        <w:tc>
          <w:tcPr>
            <w:tcW w:type="dxa" w:w="4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Hawkeyes' decision scope</w:t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Choice of decoy type</w:t>
            </w:r>
          </w:p>
        </w:tc>
        <w:tc>
          <w:tcPr>
            <w:tcW w:type="dxa" w:w="37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5A80"/>
                <w:sz w:val="25"/>
                <w:szCs w:val="25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3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Static ATT&amp;CK decoy set</w:t>
            </w:r>
          </w:p>
        </w:tc>
        <w:tc>
          <w:tcPr>
            <w:tcW w:type="dxa" w:w="4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Zambianco et al.</w:t>
            </w:r>
          </w:p>
        </w:tc>
        <w:tc>
          <w:tcPr>
            <w:tcW w:type="dxa" w:w="3300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Adapting during the attack</w:t>
            </w:r>
          </w:p>
        </w:tc>
        <w:tc>
          <w:tcPr>
            <w:tcW w:type="dxa" w:w="3778"/>
            <w:shd w:fill="F4F7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5A80"/>
                <w:sz w:val="25"/>
                <w:szCs w:val="25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5"/>
                <w:szCs w:val="25"/>
              </w:rPr>
              <w:t xml:space="preserve">Engagement metrics</w:t>
            </w:r>
          </w:p>
        </w:tc>
        <w:tc>
          <w:tcPr>
            <w:tcW w:type="dxa" w:w="4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Huang &amp; Zhu</w:t>
            </w:r>
          </w:p>
        </w:tc>
        <w:tc>
          <w:tcPr>
            <w:tcW w:type="dxa" w:w="3300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F2933"/>
                <w:sz w:val="25"/>
                <w:szCs w:val="25"/>
              </w:rPr>
              <w:t xml:space="preserve">—</w:t>
            </w:r>
          </w:p>
        </w:tc>
        <w:tc>
          <w:tcPr>
            <w:tcW w:type="dxa" w:w="3778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5"/>
                <w:szCs w:val="25"/>
              </w:rPr>
              <w:t xml:space="preserve">Measured for every team (dwell time, depth)</w:t>
            </w:r>
          </w:p>
        </w:tc>
      </w:tr>
    </w:tbl>
    <w:p>
      <w:pPr>
        <w:spacing w:after="200"/>
      </w:pPr>
    </w:p>
    <w:p>
      <w:pPr>
        <w:spacing w:after="160" w:before="0" w:line="300"/>
        <w:jc w:val="left"/>
      </w:pPr>
      <w:r>
        <w:rPr>
          <w:rFonts w:ascii="Calibri" w:cs="Calibri" w:eastAsia="Calibri" w:hAnsi="Calibri"/>
          <w:color w:val="5B6B7C"/>
          <w:sz w:val="25"/>
          <w:szCs w:val="25"/>
        </w:rPr>
        <w:t xml:space="preserve">All baselines use the same environment, attack scripts, training budget (2 million steps), 10 independent runs and test attacks.</w:t>
      </w:r>
    </w:p>
    <w:sectPr>
      <w:footerReference w:type="default" r:id="rId7"/>
      <w:pgSz w:w="16838" w:h="11906" w:orient="landscape"/>
      <w:pgMar w:top="900" w:right="1080" w:bottom="900" w:left="108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5B6B7C"/>
        <w:sz w:val="20"/>
        <w:szCs w:val="20"/>
      </w:rPr>
      <w:t xml:space="preserve">TEMARL  ·  Progress update  ·  September 2026</w:t>
    </w:r>
    <w:r>
      <w:rPr>
        <w:rFonts w:ascii="Calibri" w:cs="Calibri" w:eastAsia="Calibri" w:hAnsi="Calibri"/>
        <w:color w:val="5B6B7C"/>
        <w:sz w:val="20"/>
        <w:szCs w:val="20"/>
      </w:rPr>
      <w:ptab w:alignment="right" w:relativeTo="margin" w:leader="non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80"/>
      </w:pPr>
      <w:rPr>
        <w:b/>
        <w:bCs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DA4" w:sz="12" w:space="6"/>
      </w:pBdr>
      <w:spacing w:after="280" w:before="0"/>
      <w:outlineLvl w:val="0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2E6DA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5obtj6aignsy9xtmmxno" Type="http://schemas.openxmlformats.org/officeDocument/2006/relationships/hyperlink" Target="https://arxiv.org/abs/2103.01955" TargetMode="External"/><Relationship Id="rIdcgrlgwevopixueh21lbtc" Type="http://schemas.openxmlformats.org/officeDocument/2006/relationships/hyperlink" Target="https://arxiv.org/abs/2011.09533" TargetMode="External"/><Relationship Id="rId-qlxmudajzpm-6zr_ubzh" Type="http://schemas.openxmlformats.org/officeDocument/2006/relationships/hyperlink" Target="https://doi.org/10.1007/978-3-319-28929-8" TargetMode="External"/><Relationship Id="rIdb2y2kpgow_hwihopvgf2k" Type="http://schemas.openxmlformats.org/officeDocument/2006/relationships/hyperlink" Target="https://arxiv.org/abs/1702.01992" TargetMode="External"/><Relationship Id="rIdg_dlco76roctyzu_26vxf" Type="http://schemas.openxmlformats.org/officeDocument/2006/relationships/hyperlink" Target="https://d3fend.mitre.org/" TargetMode="External"/><Relationship Id="rIdclzitw36ehyb81t09fazr" Type="http://schemas.openxmlformats.org/officeDocument/2006/relationships/hyperlink" Target="https://doi.org/10.1109/IAW.2005.1495930" TargetMode="External"/><Relationship Id="rIdfef3hyfijcmv5wgg8vwmj" Type="http://schemas.openxmlformats.org/officeDocument/2006/relationships/hyperlink" Target="https://doi.org/10.1109/DASC.2006.36" TargetMode="External"/><Relationship Id="rIdkc4x_btncumg0kyv-gzi-" Type="http://schemas.openxmlformats.org/officeDocument/2006/relationships/hyperlink" Target="https://doi.org/10.1007/978-3-319-14039-1_5" TargetMode="External"/><Relationship Id="rIdpgy0pe3oh1eyfa-tzoxfn" Type="http://schemas.openxmlformats.org/officeDocument/2006/relationships/hyperlink" Target="https://doi.org/10.1002/aaai.70021" TargetMode="External"/><Relationship Id="rIdiojjfraq23jcptv9kaanm" Type="http://schemas.openxmlformats.org/officeDocument/2006/relationships/hyperlink" Target="https://link.springer.com/article/10.1007/s10207-026-01318-x" TargetMode="External"/><Relationship Id="rIdsjomddtysj2eoevkm9d7j" Type="http://schemas.openxmlformats.org/officeDocument/2006/relationships/hyperlink" Target="https://zenodo.org/records/18861762" TargetMode="External"/><Relationship Id="rIda_cfvsv_q6_vqkxbhldep" Type="http://schemas.openxmlformats.org/officeDocument/2006/relationships/hyperlink" Target="https://doi.org/10.1016/j.dib.2025.111723" TargetMode="External"/><Relationship Id="rId0zvglybyhsqmnrsixl_ha" Type="http://schemas.openxmlformats.org/officeDocument/2006/relationships/hyperlink" Target="https://doi.org/10.5281/zenodo.15375145" TargetMode="External"/><Relationship Id="rId9txolpkppaclumrha9jp2" Type="http://schemas.openxmlformats.org/officeDocument/2006/relationships/hyperlink" Target="https://www.sciencedirect.com/science/article/abs/pii/S1389128625009478" TargetMode="External"/><Relationship Id="rIdf3nlgh2aqzvohmm95z5it" Type="http://schemas.openxmlformats.org/officeDocument/2006/relationships/hyperlink" Target="https://arxiv.org/abs/2404.12783" TargetMode="External"/><Relationship Id="rIdywqja-zwvr9xoad9nui49" Type="http://schemas.openxmlformats.org/officeDocument/2006/relationships/hyperlink" Target="https://www.nature.com/articles/s41598-025-00348-0" TargetMode="External"/><Relationship Id="rId5heluyvzstf0zfj63h6pg" Type="http://schemas.openxmlformats.org/officeDocument/2006/relationships/hyperlink" Target="https://arxiv.org/abs/1906.12182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TEMARL progress update</dc:title>
  <dc:creator>TEMARL team</dc:creator>
  <cp:lastModifiedBy>Un-named</cp:lastModifiedBy>
  <cp:revision>1</cp:revision>
  <dcterms:created xsi:type="dcterms:W3CDTF">2026-09-19T06:09:44.602Z</dcterms:created>
  <dcterms:modified xsi:type="dcterms:W3CDTF">2026-09-19T06:09:44.603Z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