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6181D"/>
          <w:sz w:val="34"/>
        </w:rPr>
        <w:t>RL and MARL honeypot deception — comparators for the DECEPTION half</w:t>
      </w:r>
    </w:p>
    <w:p>
      <w:pPr>
        <w:spacing w:after="160"/>
      </w:pPr>
      <w:r>
        <w:rPr>
          <w:b w:val="0"/>
          <w:color w:val="565D6B"/>
          <w:sz w:val="17"/>
        </w:rPr>
        <w:t>12 journal papers · every DOI Crossref-verified · scored on the Idea 03 preconditions · 1 passes (a) with released code, 1 passes (a) with full published specification, 0 pass all three · 2026-10-14</w:t>
      </w:r>
    </w:p>
    <w:p>
      <w:pPr>
        <w:spacing w:before="80" w:after="100"/>
        <w:pBdr>
          <w:bottom w:val="single" w:sz="12" w:color="16181D" w:space="2"/>
        </w:pBdr>
      </w:pPr>
      <w:r>
        <w:rPr>
          <w:b/>
          <w:color w:val="16181D"/>
          <w:sz w:val="30"/>
        </w:rPr>
        <w:t>Column change, stated so it is not silently different</w:t>
      </w:r>
    </w:p>
    <w:p>
      <w:pPr>
        <w:spacing w:after="120"/>
      </w:pPr>
      <w:r>
        <w:rPr>
          <w:b w:val="0"/>
          <w:color w:val="565D6B"/>
          <w:sz w:val="16"/>
        </w:rPr>
        <w:t>This table keeps the Section 2 layout, but columns 10 and 11 are repurposed. Ideas 01 and 02 are PREDICTION-HALF ONLY by construction, so they do not apply to any paper here. Column 10 now carries the Idea 03 verdict — (a) a sequential attacker emitting an action stream, (b) a defender action space that is resource placement, (c) a computable shared metric — and column 11 carries what artifacts are actually released.</w:t>
      </w:r>
    </w:p>
    <w:p>
      <w:pPr>
        <w:spacing w:before="240" w:after="100"/>
        <w:pBdr>
          <w:bottom w:val="single" w:sz="12" w:color="16181D" w:space="2"/>
        </w:pBdr>
      </w:pPr>
      <w:r>
        <w:rPr>
          <w:b/>
          <w:color w:val="16181D"/>
          <w:sz w:val="30"/>
        </w:rPr>
        <w:t>Section 2 — The matrix</w:t>
      </w:r>
    </w:p>
    <w:p>
      <w:pPr>
        <w:spacing w:after="120"/>
      </w:pPr>
      <w:r>
        <w:rPr>
          <w:b w:val="0"/>
          <w:color w:val="565D6B"/>
          <w:sz w:val="17"/>
        </w:rPr>
        <w:t>Idea 03 = run OUR method inside THEIR published environment.   Reproducible column shows WHAT IS MISSING to reproduce the paper in its own setup.</w:t>
      </w:r>
    </w:p>
    <w:tbl>
      <w:tblPr>
        <w:tblStyle w:val="TableGrid"/>
        <w:tblW w:type="auto" w:w="0"/>
        <w:jc w:val="center"/>
        <w:tblLayout w:type="fixed"/>
        <w:tblLook w:firstColumn="1" w:firstRow="1" w:lastColumn="0" w:lastRow="0" w:noHBand="0" w:noVBand="1" w:val="04A0"/>
      </w:tblPr>
      <w:tblGrid>
        <w:gridCol w:w="1327"/>
        <w:gridCol w:w="1327"/>
        <w:gridCol w:w="1327"/>
        <w:gridCol w:w="1327"/>
        <w:gridCol w:w="1327"/>
        <w:gridCol w:w="1327"/>
        <w:gridCol w:w="1327"/>
        <w:gridCol w:w="1327"/>
        <w:gridCol w:w="1327"/>
        <w:gridCol w:w="1327"/>
        <w:gridCol w:w="1327"/>
        <w:gridCol w:w="1327"/>
      </w:tblGrid>
      <w:tr>
        <w:trPr>
          <w:tblHeader w:val="true"/>
        </w:trPr>
        <w:tc>
          <w:tcPr>
            <w:tcW w:type="dxa" w:w="1304"/>
            <w:shd w:val="clear" w:fill="F3F1ED"/>
          </w:tcPr>
          <w:p>
            <w:pPr>
              <w:spacing w:after="10" w:before="10"/>
            </w:pPr>
            <w:r/>
            <w:r>
              <w:rPr>
                <w:b/>
                <w:color w:val="565D6B"/>
                <w:sz w:val="12"/>
              </w:rPr>
              <w:t>Paper</w:t>
            </w:r>
          </w:p>
        </w:tc>
        <w:tc>
          <w:tcPr>
            <w:tcW w:type="dxa" w:w="1162"/>
            <w:shd w:val="clear" w:fill="F3F1ED"/>
          </w:tcPr>
          <w:p>
            <w:pPr>
              <w:spacing w:after="10" w:before="10"/>
            </w:pPr>
            <w:r/>
            <w:r>
              <w:rPr>
                <w:b/>
                <w:color w:val="565D6B"/>
                <w:sz w:val="12"/>
              </w:rPr>
              <w:t>DOI</w:t>
            </w:r>
          </w:p>
        </w:tc>
        <w:tc>
          <w:tcPr>
            <w:tcW w:type="dxa" w:w="1332"/>
            <w:shd w:val="clear" w:fill="F3F1ED"/>
          </w:tcPr>
          <w:p>
            <w:pPr>
              <w:spacing w:after="10" w:before="10"/>
            </w:pPr>
            <w:r/>
            <w:r>
              <w:rPr>
                <w:b/>
                <w:color w:val="565D6B"/>
                <w:sz w:val="12"/>
              </w:rPr>
              <w:t>Journal / year</w:t>
            </w:r>
          </w:p>
        </w:tc>
        <w:tc>
          <w:tcPr>
            <w:tcW w:type="dxa" w:w="794"/>
            <w:shd w:val="clear" w:fill="F3F1ED"/>
          </w:tcPr>
          <w:p>
            <w:pPr>
              <w:spacing w:after="10" w:before="10"/>
            </w:pPr>
            <w:r/>
            <w:r>
              <w:rPr>
                <w:b/>
                <w:color w:val="565D6B"/>
                <w:sz w:val="12"/>
              </w:rPr>
              <w:t>Q</w:t>
            </w:r>
          </w:p>
        </w:tc>
        <w:tc>
          <w:tcPr>
            <w:tcW w:type="dxa" w:w="1757"/>
            <w:shd w:val="clear" w:fill="F3F1ED"/>
          </w:tcPr>
          <w:p>
            <w:pPr>
              <w:spacing w:after="10" w:before="10"/>
            </w:pPr>
            <w:r/>
            <w:r>
              <w:rPr>
                <w:b/>
                <w:color w:val="565D6B"/>
                <w:sz w:val="12"/>
              </w:rPr>
              <w:t>Exact model</w:t>
            </w:r>
          </w:p>
        </w:tc>
        <w:tc>
          <w:tcPr>
            <w:tcW w:type="dxa" w:w="1616"/>
            <w:shd w:val="clear" w:fill="F3F1ED"/>
          </w:tcPr>
          <w:p>
            <w:pPr>
              <w:spacing w:after="10" w:before="10"/>
            </w:pPr>
            <w:r/>
            <w:r>
              <w:rPr>
                <w:b/>
                <w:color w:val="565D6B"/>
                <w:sz w:val="12"/>
              </w:rPr>
              <w:t>Environment / data</w:t>
            </w:r>
          </w:p>
        </w:tc>
        <w:tc>
          <w:tcPr>
            <w:tcW w:type="dxa" w:w="1701"/>
            <w:shd w:val="clear" w:fill="F3F1ED"/>
          </w:tcPr>
          <w:p>
            <w:pPr>
              <w:spacing w:after="10" w:before="10"/>
            </w:pPr>
            <w:r/>
            <w:r>
              <w:rPr>
                <w:b/>
                <w:color w:val="565D6B"/>
                <w:sz w:val="12"/>
              </w:rPr>
              <w:t>Their metric</w:t>
            </w:r>
          </w:p>
        </w:tc>
        <w:tc>
          <w:tcPr>
            <w:tcW w:type="dxa" w:w="1361"/>
            <w:shd w:val="clear" w:fill="F3F1ED"/>
          </w:tcPr>
          <w:p>
            <w:pPr>
              <w:spacing w:after="10" w:before="10"/>
            </w:pPr>
            <w:r/>
            <w:r>
              <w:rPr>
                <w:b/>
                <w:color w:val="565D6B"/>
                <w:sz w:val="12"/>
              </w:rPr>
              <w:t>Our matching metric</w:t>
            </w:r>
          </w:p>
        </w:tc>
        <w:tc>
          <w:tcPr>
            <w:tcW w:type="dxa" w:w="1332"/>
            <w:shd w:val="clear" w:fill="F3F1ED"/>
          </w:tcPr>
          <w:p>
            <w:pPr>
              <w:spacing w:after="10" w:before="10"/>
            </w:pPr>
            <w:r/>
            <w:r>
              <w:rPr>
                <w:b/>
                <w:color w:val="565D6B"/>
                <w:sz w:val="12"/>
              </w:rPr>
              <w:t>Goal match</w:t>
            </w:r>
          </w:p>
        </w:tc>
        <w:tc>
          <w:tcPr>
            <w:tcW w:type="dxa" w:w="1559"/>
            <w:shd w:val="clear" w:fill="F3F1ED"/>
          </w:tcPr>
          <w:p>
            <w:pPr>
              <w:spacing w:after="10" w:before="10"/>
            </w:pPr>
            <w:r/>
            <w:r>
              <w:rPr>
                <w:b/>
                <w:color w:val="565D6B"/>
                <w:sz w:val="12"/>
              </w:rPr>
              <w:t>Idea 03: (a) (b) (c)</w:t>
            </w:r>
          </w:p>
        </w:tc>
        <w:tc>
          <w:tcPr>
            <w:tcW w:type="dxa" w:w="1219"/>
            <w:shd w:val="clear" w:fill="F3F1ED"/>
          </w:tcPr>
          <w:p>
            <w:pPr>
              <w:spacing w:after="10" w:before="10"/>
            </w:pPr>
            <w:r/>
            <w:r>
              <w:rPr>
                <w:b/>
                <w:color w:val="565D6B"/>
                <w:sz w:val="12"/>
              </w:rPr>
              <w:t>Artifacts released</w:t>
            </w:r>
          </w:p>
        </w:tc>
        <w:tc>
          <w:tcPr>
            <w:tcW w:type="dxa" w:w="1474"/>
            <w:shd w:val="clear" w:fill="F3F1ED"/>
          </w:tcPr>
          <w:p>
            <w:pPr>
              <w:spacing w:after="10" w:before="10"/>
            </w:pPr>
            <w:r/>
            <w:r>
              <w:rPr>
                <w:b/>
                <w:color w:val="565D6B"/>
                <w:sz w:val="12"/>
              </w:rPr>
              <w:t>Reproducible: what is missing</w:t>
            </w:r>
          </w:p>
        </w:tc>
      </w:tr>
      <w:tr>
        <w:tc>
          <w:tcPr>
            <w:tcW w:type="dxa" w:w="1474"/>
            <w:gridSpan w:val="12"/>
            <w:shd w:val="clear" w:fill="E8E4DC"/>
          </w:tcPr>
          <w:p>
            <w:pPr>
              <w:spacing w:after="10" w:before="10"/>
            </w:pPr>
            <w:r/>
            <w:r>
              <w:rPr>
                <w:b/>
                <w:color w:val="A4302B"/>
                <w:sz w:val="14"/>
              </w:rPr>
              <w:t>A. CLOSEST — passes (a). These are the only two worth a reproduction attempt.</w:t>
            </w:r>
          </w:p>
        </w:tc>
      </w:tr>
      <w:tr>
        <w:tc>
          <w:tcPr>
            <w:tcW w:type="dxa" w:w="1304"/>
          </w:tcPr>
          <w:p>
            <w:pPr>
              <w:spacing w:after="10" w:before="10"/>
            </w:pPr>
            <w:r/>
            <w:r>
              <w:rPr>
                <w:b/>
                <w:color w:val="16181D"/>
                <w:sz w:val="11"/>
              </w:rPr>
              <w:t>Co-ADAM — Wushishi, Hussain, Hussain et al. [FULL]</w:t>
            </w:r>
          </w:p>
        </w:tc>
        <w:tc>
          <w:tcPr>
            <w:tcW w:type="dxa" w:w="1162"/>
          </w:tcPr>
          <w:p>
            <w:pPr>
              <w:spacing w:after="10" w:before="10"/>
            </w:pPr>
            <w:r/>
            <w:r>
              <w:rPr>
                <w:b w:val="0"/>
                <w:color w:val="16181D"/>
                <w:sz w:val="11"/>
              </w:rPr>
              <w:t>10.1038/s41598-026-60920-0</w:t>
            </w:r>
          </w:p>
        </w:tc>
        <w:tc>
          <w:tcPr>
            <w:tcW w:type="dxa" w:w="1332"/>
          </w:tcPr>
          <w:p>
            <w:pPr>
              <w:spacing w:after="10" w:before="10"/>
            </w:pPr>
            <w:r/>
            <w:r>
              <w:rPr>
                <w:b w:val="0"/>
                <w:color w:val="16181D"/>
                <w:sz w:val="11"/>
              </w:rPr>
              <w:t>Scientific Reports 16, 2026</w:t>
            </w:r>
          </w:p>
        </w:tc>
        <w:tc>
          <w:tcPr>
            <w:tcW w:type="dxa" w:w="794"/>
          </w:tcPr>
          <w:p>
            <w:pPr>
              <w:spacing w:after="10" w:before="10"/>
            </w:pPr>
            <w:r/>
            <w:r>
              <w:rPr>
                <w:b w:val="0"/>
                <w:color w:val="16181D"/>
                <w:sz w:val="11"/>
              </w:rPr>
              <w:t>check</w:t>
            </w:r>
          </w:p>
        </w:tc>
        <w:tc>
          <w:tcPr>
            <w:tcW w:type="dxa" w:w="1757"/>
          </w:tcPr>
          <w:p>
            <w:pPr>
              <w:spacing w:after="10" w:before="10"/>
            </w:pPr>
            <w:r/>
            <w:r>
              <w:rPr>
                <w:b w:val="0"/>
                <w:color w:val="16181D"/>
                <w:sz w:val="11"/>
              </w:rPr>
              <w:t>DQN defender (12→128→64→4, 10,180 parameters) inside a constrained MDP with an EMBEDDED SIGNALING GAME: deception investment modulates attacker scepticism, which feeds back into attack success. Co-evolutionary loop against a tabular attacker; each episode draws from a pool of 10 historical attacker snapshots with probability 0.30. Action masking suppresses DeceptionHeavy above infection 0.60 and scepticism 0.80.</w:t>
            </w:r>
          </w:p>
        </w:tc>
        <w:tc>
          <w:tcPr>
            <w:tcW w:type="dxa" w:w="1616"/>
          </w:tcPr>
          <w:p>
            <w:pPr>
              <w:spacing w:after="10" w:before="10"/>
            </w:pPr>
            <w:r/>
            <w:r>
              <w:rPr>
                <w:b w:val="0"/>
                <w:color w:val="16181D"/>
                <w:sz w:val="11"/>
              </w:rPr>
              <w:t>Simulator plus three PUBLIC IIoT datasets: CIC-IIoT-2025, WUSTL-IIoT-2021, Edge-IIoTset (10.21227/mbc1-1h68). Also a 10-day physical testbed on a Dell D660 honeypot.</w:t>
            </w:r>
          </w:p>
        </w:tc>
        <w:tc>
          <w:tcPr>
            <w:tcW w:type="dxa" w:w="1701"/>
          </w:tcPr>
          <w:p>
            <w:pPr>
              <w:spacing w:after="10" w:before="10"/>
            </w:pPr>
            <w:r/>
            <w:r>
              <w:rPr>
                <w:b w:val="0"/>
                <w:color w:val="16181D"/>
                <w:sz w:val="11"/>
              </w:rPr>
              <w:t>AMR 0.8363 (random attacker) / 0.8033 (adaptive). Reward 147.91 / 102.52. Infection rate 0.0119 / 0.0790. Exploitability 2.4523 (4.43% normalised). Nash gap 0.2137. Convergence at episode 1,377 of 5,000. Cross-domain AMR retention 99.61%. Testbed AMR 0.9975.</w:t>
            </w:r>
          </w:p>
        </w:tc>
        <w:tc>
          <w:tcPr>
            <w:tcW w:type="dxa" w:w="1361"/>
          </w:tcPr>
          <w:p>
            <w:pPr>
              <w:spacing w:after="10" w:before="10"/>
            </w:pPr>
            <w:r/>
            <w:r>
              <w:rPr>
                <w:b w:val="0"/>
                <w:color w:val="16181D"/>
                <w:sz w:val="11"/>
              </w:rPr>
              <w:t>Their INFECTION RATE is the honest analogue of our asset-protection rate. AMR is NOT dwell and must not be relabelled as such. No dwell or depth metric exists in this paper.</w:t>
            </w:r>
          </w:p>
        </w:tc>
        <w:tc>
          <w:tcPr>
            <w:tcW w:type="dxa" w:w="1332"/>
          </w:tcPr>
          <w:p>
            <w:pPr>
              <w:spacing w:after="10" w:before="10"/>
            </w:pPr>
            <w:r/>
            <w:r>
              <w:rPr>
                <w:b w:val="0"/>
                <w:color w:val="16181D"/>
                <w:sz w:val="11"/>
              </w:rPr>
              <w:t>STRONGEST deception-half match found. Three network zones, five tactics, a per-step attacker, and a defender that deploys honeypots and decoys.</w:t>
            </w:r>
          </w:p>
        </w:tc>
        <w:tc>
          <w:tcPr>
            <w:tcW w:type="dxa" w:w="1559"/>
          </w:tcPr>
          <w:p>
            <w:pPr>
              <w:spacing w:after="10" w:before="10"/>
            </w:pPr>
            <w:r/>
            <w:r>
              <w:rPr>
                <w:b w:val="0"/>
                <w:color w:val="1F6F4A"/>
                <w:sz w:val="11"/>
              </w:rPr>
              <w:t>(a) PASS — attacker acts every step over 100-step episodes, choosing from 45 actions = 5 tactics × 3 intensities × 3 ZONES. (b) PARTIAL — defender picks one of 4 composite profiles weighting 6 mechanisms, so it is profile selection, not per-zone placement, and it is single-agent DQN, not MARL. (c) PARTIAL — infection rate bridges; dwell and depth do not exist.</w:t>
            </w:r>
          </w:p>
        </w:tc>
        <w:tc>
          <w:tcPr>
            <w:tcW w:type="dxa" w:w="1219"/>
          </w:tcPr>
          <w:p>
            <w:pPr>
              <w:spacing w:after="10" w:before="10"/>
            </w:pPr>
            <w:r/>
            <w:r>
              <w:rPr>
                <w:b w:val="0"/>
                <w:color w:val="1F6F4A"/>
                <w:sz w:val="11"/>
              </w:rPr>
              <w:t>YES, VERIFIED END TO END. GitHub Usmanjibril09/CoADAM: coevolutionary_trainer.m, iiot_environment.m, Phase1–9 scripts, baselines, cross-dataset, ablation, scalability, GT analysis, testbed validation, figure scripts. Zenodo v1.0.0 at 10.5281/zenodo.19556576, 3.1 MB, CC BY 4.0.</w:t>
            </w:r>
          </w:p>
        </w:tc>
        <w:tc>
          <w:tcPr>
            <w:tcW w:type="dxa" w:w="1474"/>
          </w:tcPr>
          <w:p>
            <w:pPr>
              <w:spacing w:after="10" w:before="10"/>
            </w:pPr>
            <w:r/>
            <w:r>
              <w:rPr>
                <w:b/>
                <w:color w:val="16181D"/>
                <w:sz w:val="11"/>
              </w:rPr>
              <w:t>SEEDS AND RUN COUNTS — never stated, so AMR 0.8363 is a point estimate of unknown variance and cannot be matched exactly. Also: the code is MATLAB R2025b + Deep Learning Toolbox + Statistics Toolbox (licence cost, and a port before it touches our PyTorch code); the README's run commands reference phases/ core/ figures/ testbed/ subfolders that do not exist (files are flat in root), so they fail as written; licence is MIT in the README but CC BY 4.0 on Zenodo, with no LICENSE file.</w:t>
            </w:r>
          </w:p>
        </w:tc>
      </w:tr>
      <w:tr>
        <w:tc>
          <w:tcPr>
            <w:tcW w:type="dxa" w:w="1304"/>
          </w:tcPr>
          <w:p>
            <w:pPr>
              <w:spacing w:after="10" w:before="10"/>
            </w:pPr>
            <w:r/>
            <w:r>
              <w:rPr>
                <w:b/>
                <w:color w:val="16181D"/>
                <w:sz w:val="11"/>
              </w:rPr>
              <w:t>Lin, Mankaev, Sudyana, Lai &amp; Hwang [FULL]</w:t>
            </w:r>
          </w:p>
        </w:tc>
        <w:tc>
          <w:tcPr>
            <w:tcW w:type="dxa" w:w="1162"/>
          </w:tcPr>
          <w:p>
            <w:pPr>
              <w:spacing w:after="10" w:before="10"/>
            </w:pPr>
            <w:r/>
            <w:r>
              <w:rPr>
                <w:b w:val="0"/>
                <w:color w:val="16181D"/>
                <w:sz w:val="11"/>
              </w:rPr>
              <w:t>10.1109/TMLCN.2026.3684465</w:t>
            </w:r>
          </w:p>
        </w:tc>
        <w:tc>
          <w:tcPr>
            <w:tcW w:type="dxa" w:w="1332"/>
          </w:tcPr>
          <w:p>
            <w:pPr>
              <w:spacing w:after="10" w:before="10"/>
            </w:pPr>
            <w:r/>
            <w:r>
              <w:rPr>
                <w:b w:val="0"/>
                <w:color w:val="16181D"/>
                <w:sz w:val="11"/>
              </w:rPr>
              <w:t>IEEE Trans. Machine Learning in Communications and Networking 4, 760–779, 2026</w:t>
            </w:r>
          </w:p>
        </w:tc>
        <w:tc>
          <w:tcPr>
            <w:tcW w:type="dxa" w:w="794"/>
          </w:tcPr>
          <w:p>
            <w:pPr>
              <w:spacing w:after="10" w:before="10"/>
            </w:pPr>
            <w:r/>
            <w:r>
              <w:rPr>
                <w:b w:val="0"/>
                <w:color w:val="16181D"/>
                <w:sz w:val="11"/>
              </w:rPr>
              <w:t>check</w:t>
            </w:r>
          </w:p>
        </w:tc>
        <w:tc>
          <w:tcPr>
            <w:tcW w:type="dxa" w:w="1757"/>
          </w:tcPr>
          <w:p>
            <w:pPr>
              <w:spacing w:after="10" w:before="10"/>
            </w:pPr>
            <w:r/>
            <w:r>
              <w:rPr>
                <w:b w:val="0"/>
                <w:color w:val="16181D"/>
                <w:sz w:val="11"/>
              </w:rPr>
              <w:t>TABULAR Q-learning, Algorithm 1 published in full. α = 1e-4, γ = 0.90, ε₀ = 0.8 → ε_min = 0.01, ρ = 0.95, plus a complete 4×2×2 grid over α ∈ {1e-4, 2e-4, 5e-4, 1e-3}, ρ ∈ {0.95, 0.99}, γ ∈ {0.90, 0.95}. Reward: terminal bonus |T|+1, index(t')+1 on tactic advance, +1 to sustain, −5 on disconnect or detection. State = ICS tactic index (small-state) or + protocol type and function code (big-state).</w:t>
            </w:r>
          </w:p>
        </w:tc>
        <w:tc>
          <w:tcPr>
            <w:tcW w:type="dxa" w:w="1616"/>
          </w:tcPr>
          <w:p>
            <w:pPr>
              <w:spacing w:after="10" w:before="10"/>
            </w:pPr>
            <w:r/>
            <w:r>
              <w:rPr>
                <w:b w:val="0"/>
                <w:color w:val="16181D"/>
                <w:sz w:val="11"/>
              </w:rPr>
              <w:t>Conpot-based ICS honeypot, Docker and native Python. Scripted Metasploit attacks derived from MITRE Caldera, each interaction mapped to a MITRE ATT&amp;CK for ICS tactic. Baselines Static0 (default Conpot) and Static1 (modified Modbus handler).</w:t>
            </w:r>
          </w:p>
        </w:tc>
        <w:tc>
          <w:tcPr>
            <w:tcW w:type="dxa" w:w="1701"/>
          </w:tcPr>
          <w:p>
            <w:pPr>
              <w:spacing w:after="10" w:before="10"/>
            </w:pPr>
            <w:r/>
            <w:r>
              <w:rPr>
                <w:b w:val="0"/>
                <w:color w:val="16181D"/>
                <w:sz w:val="11"/>
              </w:rPr>
              <w:t>Static honeypots stall at tactic 4 (Static0) and tactic 7 (Static1). RL reaches the latest tactic within 700 attack–response cycles and MORE THAN DOUBLES average engagement time. Session duration surpasses 70 seconds. Small-state passes Static1 near episode 400 and approaches tactic 11 by episode 1000; big-state catches up near episode 1400.</w:t>
            </w:r>
          </w:p>
        </w:tc>
        <w:tc>
          <w:tcPr>
            <w:tcW w:type="dxa" w:w="1361"/>
          </w:tcPr>
          <w:p>
            <w:pPr>
              <w:spacing w:after="10" w:before="10"/>
            </w:pPr>
            <w:r/>
            <w:r>
              <w:rPr>
                <w:b w:val="0"/>
                <w:color w:val="16181D"/>
                <w:sz w:val="11"/>
              </w:rPr>
              <w:t>CONCEPTUALLY our dwell and depth — but NOT the same quantities. Their depth is the MAXIMUM tactic index reached (ordinal, ~1–12); ours is a COUNT of unique techniques (set cardinality, 0–84). A session reaching tactic 11 by one technique scores 11 theirs and 1 ours. Their engagement is WALL-CLOCK SECONDS on a live Modbus session; ours is a count of engaged steps. Neither pair is convertible.</w:t>
            </w:r>
          </w:p>
        </w:tc>
        <w:tc>
          <w:tcPr>
            <w:tcW w:type="dxa" w:w="1332"/>
          </w:tcPr>
          <w:p>
            <w:pPr>
              <w:spacing w:after="10" w:before="10"/>
            </w:pPr>
            <w:r/>
            <w:r>
              <w:rPr>
                <w:b w:val="0"/>
                <w:color w:val="16181D"/>
                <w:sz w:val="11"/>
              </w:rPr>
              <w:t>CLOSEST PURPOSE MATCH in the literature: it optimises exactly what we optimise — keep the attacker engaged and push them deeper — and it penalises detection, as our burn hazard does.</w:t>
            </w:r>
          </w:p>
        </w:tc>
        <w:tc>
          <w:tcPr>
            <w:tcW w:type="dxa" w:w="1559"/>
          </w:tcPr>
          <w:p>
            <w:pPr>
              <w:spacing w:after="10" w:before="10"/>
            </w:pPr>
            <w:r/>
            <w:r>
              <w:rPr>
                <w:b w:val="0"/>
                <w:color w:val="1F6F4A"/>
                <w:sz w:val="11"/>
              </w:rPr>
              <w:t>(a) PASS — the attacker executes a scripted sequence of ICS tactics and the honeypot's actions change its progression. (b) FAIL — the action space is MITRE Engage driven response shaping (Allow / Modify / Block / Delay) on ONE honeypot. No placement, no zones, no multi-agent, so our placement policy has nothing to control. (c) PARTIAL — see the metric column.</w:t>
            </w:r>
          </w:p>
        </w:tc>
        <w:tc>
          <w:tcPr>
            <w:tcW w:type="dxa" w:w="1219"/>
          </w:tcPr>
          <w:p>
            <w:pPr>
              <w:spacing w:after="10" w:before="10"/>
            </w:pPr>
            <w:r/>
            <w:r>
              <w:rPr>
                <w:b w:val="0"/>
                <w:color w:val="16181D"/>
                <w:sz w:val="11"/>
              </w:rPr>
              <w:t>NO repository found. But Algorithm 1 and every hyperparameter ARE published, and the honeypot is Conpot with a described Docker and Python deployment.</w:t>
            </w:r>
          </w:p>
        </w:tc>
        <w:tc>
          <w:tcPr>
            <w:tcW w:type="dxa" w:w="1474"/>
          </w:tcPr>
          <w:p>
            <w:pPr>
              <w:spacing w:after="10" w:before="10"/>
            </w:pPr>
            <w:r/>
            <w:r>
              <w:rPr>
                <w:b/>
                <w:color w:val="16181D"/>
                <w:sz w:val="11"/>
              </w:rPr>
              <w:t>CODE and the ATTACK SCRIPTS. The method satisfies P3-style full specification, so it is REIMPLEMENTABLE without a repo — ‘no package’ is not the same as ‘not reproducible’. No seed count: the paper argues tabular Q-learning removes seed sensitivity rather than reporting runs. Request the Caldera scripts and Conpot config from D. Sudyana (didik@gs.ncku.edu.tw).</w:t>
            </w:r>
          </w:p>
        </w:tc>
      </w:tr>
      <w:tr>
        <w:tc>
          <w:tcPr>
            <w:tcW w:type="dxa" w:w="1474"/>
            <w:gridSpan w:val="12"/>
            <w:shd w:val="clear" w:fill="E8E4DC"/>
          </w:tcPr>
          <w:p>
            <w:pPr>
              <w:spacing w:after="10" w:before="10"/>
            </w:pPr>
            <w:r/>
            <w:r>
              <w:rPr>
                <w:b/>
                <w:color w:val="A4302B"/>
                <w:sz w:val="14"/>
              </w:rPr>
              <w:t>B. STRONG GOAL MATCH — but no artifact verified, so reproduction cannot be promised</w:t>
            </w:r>
          </w:p>
        </w:tc>
      </w:tr>
      <w:tr>
        <w:tc>
          <w:tcPr>
            <w:tcW w:type="dxa" w:w="1304"/>
          </w:tcPr>
          <w:p>
            <w:pPr>
              <w:spacing w:after="10" w:before="10"/>
            </w:pPr>
            <w:r/>
            <w:r>
              <w:rPr>
                <w:b/>
                <w:color w:val="16181D"/>
                <w:sz w:val="11"/>
              </w:rPr>
              <w:t>Hwang, Huang &amp; Lai — RL Meets LLM Honeypots [METADATA] NEW</w:t>
            </w:r>
          </w:p>
        </w:tc>
        <w:tc>
          <w:tcPr>
            <w:tcW w:type="dxa" w:w="1162"/>
          </w:tcPr>
          <w:p>
            <w:pPr>
              <w:spacing w:after="10" w:before="10"/>
            </w:pPr>
            <w:r/>
            <w:r>
              <w:rPr>
                <w:b w:val="0"/>
                <w:color w:val="16181D"/>
                <w:sz w:val="11"/>
              </w:rPr>
              <w:t>10.1109/tnsm.2026.3731455</w:t>
            </w:r>
          </w:p>
        </w:tc>
        <w:tc>
          <w:tcPr>
            <w:tcW w:type="dxa" w:w="1332"/>
          </w:tcPr>
          <w:p>
            <w:pPr>
              <w:spacing w:after="10" w:before="10"/>
            </w:pPr>
            <w:r/>
            <w:r>
              <w:rPr>
                <w:b w:val="0"/>
                <w:color w:val="16181D"/>
                <w:sz w:val="11"/>
              </w:rPr>
              <w:t>IEEE Trans. Network and Service Management 23, 7674–7689, 2026</w:t>
            </w:r>
          </w:p>
        </w:tc>
        <w:tc>
          <w:tcPr>
            <w:tcW w:type="dxa" w:w="794"/>
          </w:tcPr>
          <w:p>
            <w:pPr>
              <w:spacing w:after="10" w:before="10"/>
            </w:pPr>
            <w:r/>
            <w:r>
              <w:rPr>
                <w:b w:val="0"/>
                <w:color w:val="16181D"/>
                <w:sz w:val="11"/>
              </w:rPr>
              <w:t>check</w:t>
            </w:r>
          </w:p>
        </w:tc>
        <w:tc>
          <w:tcPr>
            <w:tcW w:type="dxa" w:w="1757"/>
          </w:tcPr>
          <w:p>
            <w:pPr>
              <w:spacing w:after="10" w:before="10"/>
            </w:pPr>
            <w:r/>
            <w:r>
              <w:rPr>
                <w:b w:val="0"/>
                <w:color w:val="16181D"/>
                <w:sz w:val="11"/>
              </w:rPr>
              <w:t>NOT READ — not open access. Described elsewhere as a fine-tuned language model reading live command sequences with an RL agent choosing deception actions. I COULD NOT VERIFY THIS.</w:t>
            </w:r>
          </w:p>
        </w:tc>
        <w:tc>
          <w:tcPr>
            <w:tcW w:type="dxa" w:w="1616"/>
          </w:tcPr>
          <w:p>
            <w:pPr>
              <w:spacing w:after="10" w:before="10"/>
            </w:pPr>
            <w:r/>
            <w:r>
              <w:rPr>
                <w:b w:val="0"/>
                <w:color w:val="16181D"/>
                <w:sz w:val="11"/>
              </w:rPr>
              <w:t>Not verified.</w:t>
            </w:r>
          </w:p>
        </w:tc>
        <w:tc>
          <w:tcPr>
            <w:tcW w:type="dxa" w:w="1701"/>
          </w:tcPr>
          <w:p>
            <w:pPr>
              <w:spacing w:after="10" w:before="10"/>
            </w:pPr>
            <w:r/>
            <w:r>
              <w:rPr>
                <w:b w:val="0"/>
                <w:color w:val="16181D"/>
                <w:sz w:val="11"/>
              </w:rPr>
              <w:t>Not verified. Claimed to target attacker engagement and depth.</w:t>
            </w:r>
          </w:p>
        </w:tc>
        <w:tc>
          <w:tcPr>
            <w:tcW w:type="dxa" w:w="1361"/>
          </w:tcPr>
          <w:p>
            <w:pPr>
              <w:spacing w:after="10" w:before="10"/>
            </w:pPr>
            <w:r/>
            <w:r>
              <w:rPr>
                <w:b w:val="0"/>
                <w:color w:val="16181D"/>
                <w:sz w:val="11"/>
              </w:rPr>
              <w:t>Potentially our dwell and depth, subject to the same unit problem as the row above.</w:t>
            </w:r>
          </w:p>
        </w:tc>
        <w:tc>
          <w:tcPr>
            <w:tcW w:type="dxa" w:w="1332"/>
          </w:tcPr>
          <w:p>
            <w:pPr>
              <w:spacing w:after="10" w:before="10"/>
            </w:pPr>
            <w:r/>
            <w:r>
              <w:rPr>
                <w:b w:val="0"/>
                <w:color w:val="16181D"/>
                <w:sz w:val="11"/>
              </w:rPr>
              <w:t>POTENTIALLY the closest of all — same research group as the TMLCN row (Hwang and Lai appear on both), MITRE Engage aligned. Worth the money or the interlibrary request.</w:t>
            </w:r>
          </w:p>
        </w:tc>
        <w:tc>
          <w:tcPr>
            <w:tcW w:type="dxa" w:w="1559"/>
          </w:tcPr>
          <w:p>
            <w:pPr>
              <w:spacing w:after="10" w:before="10"/>
            </w:pPr>
            <w:r/>
            <w:r>
              <w:rPr>
                <w:b w:val="0"/>
                <w:color w:val="8A5A00"/>
                <w:sz w:val="11"/>
              </w:rPr>
              <w:t>UNSCORED — cannot score (a), (b) or (c) without the paper. Note the TMLCN paper reserves ‘LLM resources’ for validated ICS interactions, so the group does combine RL with an LLM; this is plausible but unverified.</w:t>
            </w:r>
          </w:p>
        </w:tc>
        <w:tc>
          <w:tcPr>
            <w:tcW w:type="dxa" w:w="1219"/>
          </w:tcPr>
          <w:p>
            <w:pPr>
              <w:spacing w:after="10" w:before="10"/>
            </w:pPr>
            <w:r/>
            <w:r>
              <w:rPr>
                <w:b w:val="0"/>
                <w:color w:val="16181D"/>
                <w:sz w:val="11"/>
              </w:rPr>
              <w:t>Not verified.</w:t>
            </w:r>
          </w:p>
        </w:tc>
        <w:tc>
          <w:tcPr>
            <w:tcW w:type="dxa" w:w="1474"/>
          </w:tcPr>
          <w:p>
            <w:pPr>
              <w:spacing w:after="10" w:before="10"/>
            </w:pPr>
            <w:r/>
            <w:r>
              <w:rPr>
                <w:b/>
                <w:color w:val="A4302B"/>
                <w:sz w:val="11"/>
              </w:rPr>
              <w:t>THE PAPER ITSELF — get the PDF. This is the single highest-value unread item for the deception half.</w:t>
            </w:r>
          </w:p>
        </w:tc>
      </w:tr>
      <w:tr>
        <w:tc>
          <w:tcPr>
            <w:tcW w:type="dxa" w:w="1304"/>
          </w:tcPr>
          <w:p>
            <w:pPr>
              <w:spacing w:after="10" w:before="10"/>
            </w:pPr>
            <w:r/>
            <w:r>
              <w:rPr>
                <w:b/>
                <w:color w:val="16181D"/>
                <w:sz w:val="11"/>
              </w:rPr>
              <w:t>Hawkeyes — Do Hoang, To, Son et al. [PARTIAL]</w:t>
            </w:r>
          </w:p>
        </w:tc>
        <w:tc>
          <w:tcPr>
            <w:tcW w:type="dxa" w:w="1162"/>
          </w:tcPr>
          <w:p>
            <w:pPr>
              <w:spacing w:after="10" w:before="10"/>
            </w:pPr>
            <w:r/>
            <w:r>
              <w:rPr>
                <w:b w:val="0"/>
                <w:color w:val="16181D"/>
                <w:sz w:val="11"/>
              </w:rPr>
              <w:t>10.1016/j.comnet.2025.111982</w:t>
            </w:r>
          </w:p>
        </w:tc>
        <w:tc>
          <w:tcPr>
            <w:tcW w:type="dxa" w:w="1332"/>
          </w:tcPr>
          <w:p>
            <w:pPr>
              <w:spacing w:after="10" w:before="10"/>
            </w:pPr>
            <w:r/>
            <w:r>
              <w:rPr>
                <w:b w:val="0"/>
                <w:color w:val="16181D"/>
                <w:sz w:val="11"/>
              </w:rPr>
              <w:t>Computer Networks 276, 111982, 2026</w:t>
            </w:r>
          </w:p>
        </w:tc>
        <w:tc>
          <w:tcPr>
            <w:tcW w:type="dxa" w:w="794"/>
          </w:tcPr>
          <w:p>
            <w:pPr>
              <w:spacing w:after="10" w:before="10"/>
            </w:pPr>
            <w:r/>
            <w:r>
              <w:rPr>
                <w:b w:val="0"/>
                <w:color w:val="16181D"/>
                <w:sz w:val="11"/>
              </w:rPr>
              <w:t>check</w:t>
            </w:r>
          </w:p>
        </w:tc>
        <w:tc>
          <w:tcPr>
            <w:tcW w:type="dxa" w:w="1757"/>
          </w:tcPr>
          <w:p>
            <w:pPr>
              <w:spacing w:after="10" w:before="10"/>
            </w:pPr>
            <w:r/>
            <w:r>
              <w:rPr>
                <w:b w:val="0"/>
                <w:color w:val="16181D"/>
                <w:sz w:val="11"/>
              </w:rPr>
              <w:t>Hierarchical multi-agent RL. Exact algorithm NOT verified by me.</w:t>
            </w:r>
          </w:p>
        </w:tc>
        <w:tc>
          <w:tcPr>
            <w:tcW w:type="dxa" w:w="1616"/>
          </w:tcPr>
          <w:p>
            <w:pPr>
              <w:spacing w:after="10" w:before="10"/>
            </w:pPr>
            <w:r/>
            <w:r>
              <w:rPr>
                <w:b w:val="0"/>
                <w:color w:val="16181D"/>
                <w:sz w:val="11"/>
              </w:rPr>
              <w:t>Self-built 4-subnet enterprise topology; OpenVAS and Nuclei scans; CVSS and EPSS per host. Not public.</w:t>
            </w:r>
          </w:p>
        </w:tc>
        <w:tc>
          <w:tcPr>
            <w:tcW w:type="dxa" w:w="1701"/>
          </w:tcPr>
          <w:p>
            <w:pPr>
              <w:spacing w:after="10" w:before="10"/>
            </w:pPr>
            <w:r/>
            <w:r>
              <w:rPr>
                <w:b w:val="0"/>
                <w:color w:val="16181D"/>
                <w:sz w:val="11"/>
              </w:rPr>
              <w:t>DSR at FNR .05 / FPR .02: HiE 48.43, HiC 100, Ran 85.28, RanE 80.18, RanC 85.96, Mix 79.23. Plus an Alignment Score.</w:t>
            </w:r>
          </w:p>
        </w:tc>
        <w:tc>
          <w:tcPr>
            <w:tcW w:type="dxa" w:w="1361"/>
          </w:tcPr>
          <w:p>
            <w:pPr>
              <w:spacing w:after="10" w:before="10"/>
            </w:pPr>
            <w:r/>
            <w:r>
              <w:rPr>
                <w:b w:val="0"/>
                <w:color w:val="16181D"/>
                <w:sz w:val="11"/>
              </w:rPr>
              <w:t>Their DSR is our protection rate, subject to definition match. No dwell or depth.</w:t>
            </w:r>
          </w:p>
        </w:tc>
        <w:tc>
          <w:tcPr>
            <w:tcW w:type="dxa" w:w="1332"/>
          </w:tcPr>
          <w:p>
            <w:pPr>
              <w:spacing w:after="10" w:before="10"/>
            </w:pPr>
            <w:r/>
            <w:r>
              <w:rPr>
                <w:b w:val="0"/>
                <w:color w:val="16181D"/>
                <w:sz w:val="11"/>
              </w:rPr>
              <w:t>STRUCTURALLY the closest to ours on the defender side — genuinely multi-agent decoy allocation over a zoned topology, which is our exact problem.</w:t>
            </w:r>
          </w:p>
        </w:tc>
        <w:tc>
          <w:tcPr>
            <w:tcW w:type="dxa" w:w="1559"/>
          </w:tcPr>
          <w:p>
            <w:pPr>
              <w:spacing w:after="10" w:before="10"/>
            </w:pPr>
            <w:r/>
            <w:r>
              <w:rPr>
                <w:b w:val="0"/>
                <w:color w:val="16181D"/>
                <w:sz w:val="11"/>
              </w:rPr>
              <w:t>(a) UNVERIFIED — I have not confirmed whether their attacker emits a sequence. (b) LIKELY PASS — honeypot allocation over subnets is placement. (c) PARTIAL — DSR bridges, dwell and depth do not. Worth a full read: if (a) passes this becomes the best Idea 03 target.</w:t>
            </w:r>
          </w:p>
        </w:tc>
        <w:tc>
          <w:tcPr>
            <w:tcW w:type="dxa" w:w="1219"/>
          </w:tcPr>
          <w:p>
            <w:pPr>
              <w:spacing w:after="10" w:before="10"/>
            </w:pPr>
            <w:r/>
            <w:r>
              <w:rPr>
                <w:b w:val="0"/>
                <w:color w:val="16181D"/>
                <w:sz w:val="11"/>
              </w:rPr>
              <w:t>None found. Topology and scan data not released.</w:t>
            </w:r>
          </w:p>
        </w:tc>
        <w:tc>
          <w:tcPr>
            <w:tcW w:type="dxa" w:w="1474"/>
          </w:tcPr>
          <w:p>
            <w:pPr>
              <w:spacing w:after="10" w:before="10"/>
            </w:pPr>
            <w:r/>
            <w:r>
              <w:rPr>
                <w:b/>
                <w:color w:val="16181D"/>
                <w:sz w:val="11"/>
              </w:rPr>
              <w:t>CODE + DATASET. Their state needs CVSS and EPSS per host, which CAM-LDS does not carry — so even with code, our data could not drive it without us inventing vulnerability scores.</w:t>
            </w:r>
          </w:p>
        </w:tc>
      </w:tr>
      <w:tr>
        <w:tc>
          <w:tcPr>
            <w:tcW w:type="dxa" w:w="1304"/>
          </w:tcPr>
          <w:p>
            <w:pPr>
              <w:spacing w:after="10" w:before="10"/>
            </w:pPr>
            <w:r/>
            <w:r>
              <w:rPr>
                <w:b/>
                <w:color w:val="16181D"/>
                <w:sz w:val="11"/>
              </w:rPr>
              <w:t>Kong, Chen, Yang, Cheng &amp; Zhang [METADATA]</w:t>
            </w:r>
          </w:p>
        </w:tc>
        <w:tc>
          <w:tcPr>
            <w:tcW w:type="dxa" w:w="1162"/>
          </w:tcPr>
          <w:p>
            <w:pPr>
              <w:spacing w:after="10" w:before="10"/>
            </w:pPr>
            <w:r/>
            <w:r>
              <w:rPr>
                <w:b w:val="0"/>
                <w:color w:val="16181D"/>
                <w:sz w:val="11"/>
              </w:rPr>
              <w:t>10.3390/app14010357</w:t>
            </w:r>
          </w:p>
        </w:tc>
        <w:tc>
          <w:tcPr>
            <w:tcW w:type="dxa" w:w="1332"/>
          </w:tcPr>
          <w:p>
            <w:pPr>
              <w:spacing w:after="10" w:before="10"/>
            </w:pPr>
            <w:r/>
            <w:r>
              <w:rPr>
                <w:b w:val="0"/>
                <w:color w:val="16181D"/>
                <w:sz w:val="11"/>
              </w:rPr>
              <w:t>Applied Sciences 14, 357, 2023 (2024 volume)</w:t>
            </w:r>
          </w:p>
        </w:tc>
        <w:tc>
          <w:tcPr>
            <w:tcW w:type="dxa" w:w="794"/>
          </w:tcPr>
          <w:p>
            <w:pPr>
              <w:spacing w:after="10" w:before="10"/>
            </w:pPr>
            <w:r/>
            <w:r>
              <w:rPr>
                <w:b w:val="0"/>
                <w:color w:val="16181D"/>
                <w:sz w:val="11"/>
              </w:rPr>
              <w:t>check</w:t>
            </w:r>
          </w:p>
        </w:tc>
        <w:tc>
          <w:tcPr>
            <w:tcW w:type="dxa" w:w="1757"/>
          </w:tcPr>
          <w:p>
            <w:pPr>
              <w:spacing w:after="10" w:before="10"/>
            </w:pPr>
            <w:r/>
            <w:r>
              <w:rPr>
                <w:b w:val="0"/>
                <w:color w:val="16181D"/>
                <w:sz w:val="11"/>
              </w:rPr>
              <w:t>Nash Q-learning in a multi-agent stochastic game for deception asset deployment. BLOCKED — MDPI returns 403, so agent count and formulation are NOT verified by me.</w:t>
            </w:r>
          </w:p>
        </w:tc>
        <w:tc>
          <w:tcPr>
            <w:tcW w:type="dxa" w:w="1616"/>
          </w:tcPr>
          <w:p>
            <w:pPr>
              <w:spacing w:after="10" w:before="10"/>
            </w:pPr>
            <w:r/>
            <w:r>
              <w:rPr>
                <w:b w:val="0"/>
                <w:color w:val="16181D"/>
                <w:sz w:val="11"/>
              </w:rPr>
              <w:t>Described as a simulated maze and Kubernetes experiment. Not verified.</w:t>
            </w:r>
          </w:p>
        </w:tc>
        <w:tc>
          <w:tcPr>
            <w:tcW w:type="dxa" w:w="1701"/>
          </w:tcPr>
          <w:p>
            <w:pPr>
              <w:spacing w:after="10" w:before="10"/>
            </w:pPr>
            <w:r/>
            <w:r>
              <w:rPr>
                <w:b w:val="0"/>
                <w:color w:val="16181D"/>
                <w:sz w:val="11"/>
              </w:rPr>
              <w:t>Described as defense success rate. Not verified.</w:t>
            </w:r>
          </w:p>
        </w:tc>
        <w:tc>
          <w:tcPr>
            <w:tcW w:type="dxa" w:w="1361"/>
          </w:tcPr>
          <w:p>
            <w:pPr>
              <w:spacing w:after="10" w:before="10"/>
            </w:pPr>
            <w:r/>
            <w:r>
              <w:rPr>
                <w:b w:val="0"/>
                <w:color w:val="16181D"/>
                <w:sz w:val="11"/>
              </w:rPr>
              <w:t>Defense success rate would map to our protection rate if the definitions match.</w:t>
            </w:r>
          </w:p>
        </w:tc>
        <w:tc>
          <w:tcPr>
            <w:tcW w:type="dxa" w:w="1332"/>
          </w:tcPr>
          <w:p>
            <w:pPr>
              <w:spacing w:after="10" w:before="10"/>
            </w:pPr>
            <w:r/>
            <w:r>
              <w:rPr>
                <w:b w:val="0"/>
                <w:color w:val="16181D"/>
                <w:sz w:val="11"/>
              </w:rPr>
              <w:t>ON PAPER the best MARL-plus-placement match after Hawkeyes: multi-agent, stochastic game, deception ASSET DEPLOYMENT against lateral movement.</w:t>
            </w:r>
          </w:p>
        </w:tc>
        <w:tc>
          <w:tcPr>
            <w:tcW w:type="dxa" w:w="1559"/>
          </w:tcPr>
          <w:p>
            <w:pPr>
              <w:spacing w:after="10" w:before="10"/>
            </w:pPr>
            <w:r/>
            <w:r>
              <w:rPr>
                <w:b w:val="0"/>
                <w:color w:val="8A5A00"/>
                <w:sz w:val="11"/>
              </w:rPr>
              <w:t>UNSCORED — MDPI 403. PULL THE PDF; this is the second highest-value unread item.</w:t>
            </w:r>
          </w:p>
        </w:tc>
        <w:tc>
          <w:tcPr>
            <w:tcW w:type="dxa" w:w="1219"/>
          </w:tcPr>
          <w:p>
            <w:pPr>
              <w:spacing w:after="10" w:before="10"/>
            </w:pPr>
            <w:r/>
            <w:r>
              <w:rPr>
                <w:b w:val="0"/>
                <w:color w:val="16181D"/>
                <w:sz w:val="11"/>
              </w:rPr>
              <w:t>Not verified.</w:t>
            </w:r>
          </w:p>
        </w:tc>
        <w:tc>
          <w:tcPr>
            <w:tcW w:type="dxa" w:w="1474"/>
          </w:tcPr>
          <w:p>
            <w:pPr>
              <w:spacing w:after="10" w:before="10"/>
            </w:pPr>
            <w:r/>
            <w:r>
              <w:rPr>
                <w:b/>
                <w:color w:val="16181D"/>
                <w:sz w:val="11"/>
              </w:rPr>
              <w:t>UNKNOWN — publisher blocks automated access.</w:t>
            </w:r>
          </w:p>
        </w:tc>
      </w:tr>
      <w:tr>
        <w:tc>
          <w:tcPr>
            <w:tcW w:type="dxa" w:w="1474"/>
            <w:gridSpan w:val="12"/>
            <w:shd w:val="clear" w:fill="E8E4DC"/>
          </w:tcPr>
          <w:p>
            <w:pPr>
              <w:spacing w:after="10" w:before="10"/>
            </w:pPr>
            <w:r/>
            <w:r>
              <w:rPr>
                <w:b/>
                <w:color w:val="A4302B"/>
                <w:sz w:val="14"/>
              </w:rPr>
              <w:t>C. RELATED — fails a precondition or targets a different outcome</w:t>
            </w:r>
          </w:p>
        </w:tc>
      </w:tr>
      <w:tr>
        <w:tc>
          <w:tcPr>
            <w:tcW w:type="dxa" w:w="1304"/>
          </w:tcPr>
          <w:p>
            <w:pPr>
              <w:spacing w:after="10" w:before="10"/>
            </w:pPr>
            <w:r/>
            <w:r>
              <w:rPr>
                <w:b/>
                <w:color w:val="16181D"/>
                <w:sz w:val="11"/>
              </w:rPr>
              <w:t>D3O-IIoT — Wushishi, Hussain, Khalid et al. [METADATA]</w:t>
            </w:r>
          </w:p>
        </w:tc>
        <w:tc>
          <w:tcPr>
            <w:tcW w:type="dxa" w:w="1162"/>
          </w:tcPr>
          <w:p>
            <w:pPr>
              <w:spacing w:after="10" w:before="10"/>
            </w:pPr>
            <w:r/>
            <w:r>
              <w:rPr>
                <w:b w:val="0"/>
                <w:color w:val="16181D"/>
                <w:sz w:val="11"/>
              </w:rPr>
              <w:t>10.1038/s41598-025-33426-4</w:t>
            </w:r>
          </w:p>
        </w:tc>
        <w:tc>
          <w:tcPr>
            <w:tcW w:type="dxa" w:w="1332"/>
          </w:tcPr>
          <w:p>
            <w:pPr>
              <w:spacing w:after="10" w:before="10"/>
            </w:pPr>
            <w:r/>
            <w:r>
              <w:rPr>
                <w:b w:val="0"/>
                <w:color w:val="16181D"/>
                <w:sz w:val="11"/>
              </w:rPr>
              <w:t>Scientific Reports 16, 2025</w:t>
            </w:r>
          </w:p>
        </w:tc>
        <w:tc>
          <w:tcPr>
            <w:tcW w:type="dxa" w:w="794"/>
          </w:tcPr>
          <w:p>
            <w:pPr>
              <w:spacing w:after="10" w:before="10"/>
            </w:pPr>
            <w:r/>
            <w:r>
              <w:rPr>
                <w:b w:val="0"/>
                <w:color w:val="16181D"/>
                <w:sz w:val="11"/>
              </w:rPr>
              <w:t>check</w:t>
            </w:r>
          </w:p>
        </w:tc>
        <w:tc>
          <w:tcPr>
            <w:tcW w:type="dxa" w:w="1757"/>
          </w:tcPr>
          <w:p>
            <w:pPr>
              <w:spacing w:after="10" w:before="10"/>
            </w:pPr>
            <w:r/>
            <w:r>
              <w:rPr>
                <w:b w:val="0"/>
                <w:color w:val="16181D"/>
                <w:sz w:val="11"/>
              </w:rPr>
              <w:t>Deep RL for dynamic deception orchestration in IIoT. Not read.</w:t>
            </w:r>
          </w:p>
        </w:tc>
        <w:tc>
          <w:tcPr>
            <w:tcW w:type="dxa" w:w="1616"/>
          </w:tcPr>
          <w:p>
            <w:pPr>
              <w:spacing w:after="10" w:before="10"/>
            </w:pPr>
            <w:r/>
            <w:r>
              <w:rPr>
                <w:b w:val="0"/>
                <w:color w:val="16181D"/>
                <w:sz w:val="11"/>
              </w:rPr>
              <w:t>Public IIoT attack datasets; deception evaluated in simulation. Implementation not verified as public.</w:t>
            </w:r>
          </w:p>
        </w:tc>
        <w:tc>
          <w:tcPr>
            <w:tcW w:type="dxa" w:w="1701"/>
          </w:tcPr>
          <w:p>
            <w:pPr>
              <w:spacing w:after="10" w:before="10"/>
            </w:pPr>
            <w:r/>
            <w:r>
              <w:rPr>
                <w:b w:val="0"/>
                <w:color w:val="16181D"/>
                <w:sz w:val="11"/>
              </w:rPr>
              <w:t>Not verified.</w:t>
            </w:r>
          </w:p>
        </w:tc>
        <w:tc>
          <w:tcPr>
            <w:tcW w:type="dxa" w:w="1361"/>
          </w:tcPr>
          <w:p>
            <w:pPr>
              <w:spacing w:after="10" w:before="10"/>
            </w:pPr>
            <w:r/>
            <w:r>
              <w:rPr>
                <w:b w:val="0"/>
                <w:color w:val="16181D"/>
                <w:sz w:val="11"/>
              </w:rPr>
              <w:t>Protection-style outcomes, unverified.</w:t>
            </w:r>
          </w:p>
        </w:tc>
        <w:tc>
          <w:tcPr>
            <w:tcW w:type="dxa" w:w="1332"/>
          </w:tcPr>
          <w:p>
            <w:pPr>
              <w:spacing w:after="10" w:before="10"/>
            </w:pPr>
            <w:r/>
            <w:r>
              <w:rPr>
                <w:b w:val="0"/>
                <w:color w:val="16181D"/>
                <w:sz w:val="11"/>
              </w:rPr>
              <w:t>MODERATE — but NOTE: same first author as Co-ADAM (Wushishi). These are one group's programme, not two independent comparators, which matters if you cite both as corroboration.</w:t>
            </w:r>
          </w:p>
        </w:tc>
        <w:tc>
          <w:tcPr>
            <w:tcW w:type="dxa" w:w="1559"/>
          </w:tcPr>
          <w:p>
            <w:pPr>
              <w:spacing w:after="10" w:before="10"/>
            </w:pPr>
            <w:r/>
            <w:r>
              <w:rPr>
                <w:b w:val="0"/>
                <w:color w:val="8A5A00"/>
                <w:sz w:val="11"/>
              </w:rPr>
              <w:t>UNSCORED. The controller mixes honeypots with other defences, so (b) is unlikely to be pure placement.</w:t>
            </w:r>
          </w:p>
        </w:tc>
        <w:tc>
          <w:tcPr>
            <w:tcW w:type="dxa" w:w="1219"/>
          </w:tcPr>
          <w:p>
            <w:pPr>
              <w:spacing w:after="10" w:before="10"/>
            </w:pPr>
            <w:r/>
            <w:r>
              <w:rPr>
                <w:b w:val="0"/>
                <w:color w:val="16181D"/>
                <w:sz w:val="11"/>
              </w:rPr>
              <w:t>Datasets public; implementation not verified.</w:t>
            </w:r>
          </w:p>
        </w:tc>
        <w:tc>
          <w:tcPr>
            <w:tcW w:type="dxa" w:w="1474"/>
          </w:tcPr>
          <w:p>
            <w:pPr>
              <w:spacing w:after="10" w:before="10"/>
            </w:pPr>
            <w:r/>
            <w:r>
              <w:rPr>
                <w:b/>
                <w:color w:val="16181D"/>
                <w:sz w:val="11"/>
              </w:rPr>
              <w:t>CODE. Prefer Co-ADAM from the same group — it has verified artifacts and this does not.</w:t>
            </w:r>
          </w:p>
        </w:tc>
      </w:tr>
      <w:tr>
        <w:tc>
          <w:tcPr>
            <w:tcW w:type="dxa" w:w="1304"/>
          </w:tcPr>
          <w:p>
            <w:pPr>
              <w:spacing w:after="10" w:before="10"/>
            </w:pPr>
            <w:r/>
            <w:r>
              <w:rPr>
                <w:b/>
                <w:color w:val="16181D"/>
                <w:sz w:val="11"/>
              </w:rPr>
              <w:t>Anwar, Kamhoua, Leslie &amp; Kiekintveld [METADATA]</w:t>
            </w:r>
          </w:p>
        </w:tc>
        <w:tc>
          <w:tcPr>
            <w:tcW w:type="dxa" w:w="1162"/>
          </w:tcPr>
          <w:p>
            <w:pPr>
              <w:spacing w:after="10" w:before="10"/>
            </w:pPr>
            <w:r/>
            <w:r>
              <w:rPr>
                <w:b w:val="0"/>
                <w:color w:val="16181D"/>
                <w:sz w:val="11"/>
              </w:rPr>
              <w:t>10.1109/TNSM.2022.3179965</w:t>
            </w:r>
          </w:p>
        </w:tc>
        <w:tc>
          <w:tcPr>
            <w:tcW w:type="dxa" w:w="1332"/>
          </w:tcPr>
          <w:p>
            <w:pPr>
              <w:spacing w:after="10" w:before="10"/>
            </w:pPr>
            <w:r/>
            <w:r>
              <w:rPr>
                <w:b w:val="0"/>
                <w:color w:val="16181D"/>
                <w:sz w:val="11"/>
              </w:rPr>
              <w:t>IEEE Trans. Network and Service Management 19, 3438–3452, 2022</w:t>
            </w:r>
          </w:p>
        </w:tc>
        <w:tc>
          <w:tcPr>
            <w:tcW w:type="dxa" w:w="794"/>
          </w:tcPr>
          <w:p>
            <w:pPr>
              <w:spacing w:after="10" w:before="10"/>
            </w:pPr>
            <w:r/>
            <w:r>
              <w:rPr>
                <w:b w:val="0"/>
                <w:color w:val="16181D"/>
                <w:sz w:val="11"/>
              </w:rPr>
              <w:t>check</w:t>
            </w:r>
          </w:p>
        </w:tc>
        <w:tc>
          <w:tcPr>
            <w:tcW w:type="dxa" w:w="1757"/>
          </w:tcPr>
          <w:p>
            <w:pPr>
              <w:spacing w:after="10" w:before="10"/>
            </w:pPr>
            <w:r/>
            <w:r>
              <w:rPr>
                <w:b w:val="0"/>
                <w:color w:val="16181D"/>
                <w:sz w:val="11"/>
              </w:rPr>
              <w:t>Game-theoretic honeypot allocation under uncertainty over a formal attack–defence model. Not an RL learner.</w:t>
            </w:r>
          </w:p>
        </w:tc>
        <w:tc>
          <w:tcPr>
            <w:tcW w:type="dxa" w:w="1616"/>
          </w:tcPr>
          <w:p>
            <w:pPr>
              <w:spacing w:after="10" w:before="10"/>
            </w:pPr>
            <w:r/>
            <w:r>
              <w:rPr>
                <w:b w:val="0"/>
                <w:color w:val="16181D"/>
                <w:sz w:val="11"/>
              </w:rPr>
              <w:t>Formal model. No release verified.</w:t>
            </w:r>
          </w:p>
        </w:tc>
        <w:tc>
          <w:tcPr>
            <w:tcW w:type="dxa" w:w="1701"/>
          </w:tcPr>
          <w:p>
            <w:pPr>
              <w:spacing w:after="10" w:before="10"/>
            </w:pPr>
            <w:r/>
            <w:r>
              <w:rPr>
                <w:b w:val="0"/>
                <w:color w:val="16181D"/>
                <w:sz w:val="11"/>
              </w:rPr>
              <w:t>Game-theoretic equilibrium outcomes, not engagement measures.</w:t>
            </w:r>
          </w:p>
        </w:tc>
        <w:tc>
          <w:tcPr>
            <w:tcW w:type="dxa" w:w="1361"/>
          </w:tcPr>
          <w:p>
            <w:pPr>
              <w:spacing w:after="10" w:before="10"/>
            </w:pPr>
            <w:r/>
            <w:r>
              <w:rPr>
                <w:b w:val="0"/>
                <w:color w:val="16181D"/>
                <w:sz w:val="11"/>
              </w:rPr>
              <w:t>None — equilibrium utility is not dwell, depth or protection rate.</w:t>
            </w:r>
          </w:p>
        </w:tc>
        <w:tc>
          <w:tcPr>
            <w:tcW w:type="dxa" w:w="1332"/>
          </w:tcPr>
          <w:p>
            <w:pPr>
              <w:spacing w:after="10" w:before="10"/>
            </w:pPr>
            <w:r/>
            <w:r>
              <w:rPr>
                <w:b w:val="0"/>
                <w:color w:val="16181D"/>
                <w:sz w:val="11"/>
              </w:rPr>
              <w:t>MODERATE on problem statement — adaptive honeypot allocation is our problem — but the solution concept is an equilibrium, not a learned policy.</w:t>
            </w:r>
          </w:p>
        </w:tc>
        <w:tc>
          <w:tcPr>
            <w:tcW w:type="dxa" w:w="1559"/>
          </w:tcPr>
          <w:p>
            <w:pPr>
              <w:spacing w:after="10" w:before="10"/>
            </w:pPr>
            <w:r/>
            <w:r>
              <w:rPr>
                <w:b w:val="0"/>
                <w:color w:val="16181D"/>
                <w:sz w:val="11"/>
              </w:rPr>
              <w:t>(b) PASS — allocation is placement. (a) FAIL — no sequential attacker process. (c) FAIL — no shared metric.</w:t>
            </w:r>
          </w:p>
        </w:tc>
        <w:tc>
          <w:tcPr>
            <w:tcW w:type="dxa" w:w="1219"/>
          </w:tcPr>
          <w:p>
            <w:pPr>
              <w:spacing w:after="10" w:before="10"/>
            </w:pPr>
            <w:r/>
            <w:r>
              <w:rPr>
                <w:b w:val="0"/>
                <w:color w:val="16181D"/>
                <w:sz w:val="11"/>
              </w:rPr>
              <w:t>None verified.</w:t>
            </w:r>
          </w:p>
        </w:tc>
        <w:tc>
          <w:tcPr>
            <w:tcW w:type="dxa" w:w="1474"/>
          </w:tcPr>
          <w:p>
            <w:pPr>
              <w:spacing w:after="10" w:before="10"/>
            </w:pPr>
            <w:r/>
            <w:r>
              <w:rPr>
                <w:b/>
                <w:color w:val="16181D"/>
                <w:sz w:val="11"/>
              </w:rPr>
              <w:t>CODE + DATASET. Cite as the foundational allocation formulation, not as a numeric comparator.</w:t>
            </w:r>
          </w:p>
        </w:tc>
      </w:tr>
      <w:tr>
        <w:tc>
          <w:tcPr>
            <w:tcW w:type="dxa" w:w="1304"/>
          </w:tcPr>
          <w:p>
            <w:pPr>
              <w:spacing w:after="10" w:before="10"/>
            </w:pPr>
            <w:r/>
            <w:r>
              <w:rPr>
                <w:b/>
                <w:color w:val="16181D"/>
                <w:sz w:val="11"/>
              </w:rPr>
              <w:t>Park &amp; Dagher [METADATA]</w:t>
            </w:r>
          </w:p>
        </w:tc>
        <w:tc>
          <w:tcPr>
            <w:tcW w:type="dxa" w:w="1162"/>
          </w:tcPr>
          <w:p>
            <w:pPr>
              <w:spacing w:after="10" w:before="10"/>
            </w:pPr>
            <w:r/>
            <w:r>
              <w:rPr>
                <w:b w:val="0"/>
                <w:color w:val="16181D"/>
                <w:sz w:val="11"/>
              </w:rPr>
              <w:t>10.1016/j.cose.2026.104949</w:t>
            </w:r>
          </w:p>
        </w:tc>
        <w:tc>
          <w:tcPr>
            <w:tcW w:type="dxa" w:w="1332"/>
          </w:tcPr>
          <w:p>
            <w:pPr>
              <w:spacing w:after="10" w:before="10"/>
            </w:pPr>
            <w:r/>
            <w:r>
              <w:rPr>
                <w:b w:val="0"/>
                <w:color w:val="16181D"/>
                <w:sz w:val="11"/>
              </w:rPr>
              <w:t>Computers &amp; Security, 2026</w:t>
            </w:r>
          </w:p>
        </w:tc>
        <w:tc>
          <w:tcPr>
            <w:tcW w:type="dxa" w:w="794"/>
          </w:tcPr>
          <w:p>
            <w:pPr>
              <w:spacing w:after="10" w:before="10"/>
            </w:pPr>
            <w:r/>
            <w:r>
              <w:rPr>
                <w:b w:val="0"/>
                <w:color w:val="16181D"/>
                <w:sz w:val="11"/>
              </w:rPr>
              <w:t>check</w:t>
            </w:r>
          </w:p>
        </w:tc>
        <w:tc>
          <w:tcPr>
            <w:tcW w:type="dxa" w:w="1757"/>
          </w:tcPr>
          <w:p>
            <w:pPr>
              <w:spacing w:after="10" w:before="10"/>
            </w:pPr>
            <w:r/>
            <w:r>
              <w:rPr>
                <w:b w:val="0"/>
                <w:color w:val="16181D"/>
                <w:sz w:val="11"/>
              </w:rPr>
              <w:t>Bayesian Stackelberg game for honeypot allocation. NOT verified by me.</w:t>
            </w:r>
          </w:p>
        </w:tc>
        <w:tc>
          <w:tcPr>
            <w:tcW w:type="dxa" w:w="1616"/>
          </w:tcPr>
          <w:p>
            <w:pPr>
              <w:spacing w:after="10" w:before="10"/>
            </w:pPr>
            <w:r/>
            <w:r>
              <w:rPr>
                <w:b w:val="0"/>
                <w:color w:val="16181D"/>
                <w:sz w:val="11"/>
              </w:rPr>
              <w:t>Not verified.</w:t>
            </w:r>
          </w:p>
        </w:tc>
        <w:tc>
          <w:tcPr>
            <w:tcW w:type="dxa" w:w="1701"/>
          </w:tcPr>
          <w:p>
            <w:pPr>
              <w:spacing w:after="10" w:before="10"/>
            </w:pPr>
            <w:r/>
            <w:r>
              <w:rPr>
                <w:b w:val="0"/>
                <w:color w:val="16181D"/>
                <w:sz w:val="11"/>
              </w:rPr>
              <w:t>Not verified.</w:t>
            </w:r>
          </w:p>
        </w:tc>
        <w:tc>
          <w:tcPr>
            <w:tcW w:type="dxa" w:w="1361"/>
          </w:tcPr>
          <w:p>
            <w:pPr>
              <w:spacing w:after="10" w:before="10"/>
            </w:pPr>
            <w:r/>
            <w:r>
              <w:rPr>
                <w:b w:val="0"/>
                <w:color w:val="16181D"/>
                <w:sz w:val="11"/>
              </w:rPr>
              <w:t>None confirmed.</w:t>
            </w:r>
          </w:p>
        </w:tc>
        <w:tc>
          <w:tcPr>
            <w:tcW w:type="dxa" w:w="1332"/>
          </w:tcPr>
          <w:p>
            <w:pPr>
              <w:spacing w:after="10" w:before="10"/>
            </w:pPr>
            <w:r/>
            <w:r>
              <w:rPr>
                <w:b w:val="0"/>
                <w:color w:val="16181D"/>
                <w:sz w:val="11"/>
              </w:rPr>
              <w:t>MODERATE on problem, game-theoretic on method — same category as the row above.</w:t>
            </w:r>
          </w:p>
        </w:tc>
        <w:tc>
          <w:tcPr>
            <w:tcW w:type="dxa" w:w="1559"/>
          </w:tcPr>
          <w:p>
            <w:pPr>
              <w:spacing w:after="10" w:before="10"/>
            </w:pPr>
            <w:r/>
            <w:r>
              <w:rPr>
                <w:b w:val="0"/>
                <w:color w:val="16181D"/>
                <w:sz w:val="11"/>
              </w:rPr>
              <w:t>(a) LIKELY FAIL — Stackelberg games model a single leader–follower decision, not a sequence.</w:t>
            </w:r>
          </w:p>
        </w:tc>
        <w:tc>
          <w:tcPr>
            <w:tcW w:type="dxa" w:w="1219"/>
          </w:tcPr>
          <w:p>
            <w:pPr>
              <w:spacing w:after="10" w:before="10"/>
            </w:pPr>
            <w:r/>
            <w:r>
              <w:rPr>
                <w:b w:val="0"/>
                <w:color w:val="16181D"/>
                <w:sz w:val="11"/>
              </w:rPr>
              <w:t>Not verified.</w:t>
            </w:r>
          </w:p>
        </w:tc>
        <w:tc>
          <w:tcPr>
            <w:tcW w:type="dxa" w:w="1474"/>
          </w:tcPr>
          <w:p>
            <w:pPr>
              <w:spacing w:after="10" w:before="10"/>
            </w:pPr>
            <w:r/>
            <w:r>
              <w:rPr>
                <w:b/>
                <w:color w:val="16181D"/>
                <w:sz w:val="11"/>
              </w:rPr>
              <w:t>CODE + DATASET.</w:t>
            </w:r>
          </w:p>
        </w:tc>
      </w:tr>
      <w:tr>
        <w:tc>
          <w:tcPr>
            <w:tcW w:type="dxa" w:w="1304"/>
          </w:tcPr>
          <w:p>
            <w:pPr>
              <w:spacing w:after="10" w:before="10"/>
            </w:pPr>
            <w:r/>
            <w:r>
              <w:rPr>
                <w:b/>
                <w:color w:val="16181D"/>
                <w:sz w:val="11"/>
              </w:rPr>
              <w:t>He, Tan &amp; Guo [METADATA]</w:t>
            </w:r>
          </w:p>
        </w:tc>
        <w:tc>
          <w:tcPr>
            <w:tcW w:type="dxa" w:w="1162"/>
          </w:tcPr>
          <w:p>
            <w:pPr>
              <w:spacing w:after="10" w:before="10"/>
            </w:pPr>
            <w:r/>
            <w:r>
              <w:rPr>
                <w:b w:val="0"/>
                <w:color w:val="16181D"/>
                <w:sz w:val="11"/>
              </w:rPr>
              <w:t>10.1155/2023/5560416</w:t>
            </w:r>
          </w:p>
        </w:tc>
        <w:tc>
          <w:tcPr>
            <w:tcW w:type="dxa" w:w="1332"/>
          </w:tcPr>
          <w:p>
            <w:pPr>
              <w:spacing w:after="10" w:before="10"/>
            </w:pPr>
            <w:r/>
            <w:r>
              <w:rPr>
                <w:b w:val="0"/>
                <w:color w:val="16181D"/>
                <w:sz w:val="11"/>
              </w:rPr>
              <w:t>International Journal of Intelligent Systems 2023</w:t>
            </w:r>
          </w:p>
        </w:tc>
        <w:tc>
          <w:tcPr>
            <w:tcW w:type="dxa" w:w="794"/>
          </w:tcPr>
          <w:p>
            <w:pPr>
              <w:spacing w:after="10" w:before="10"/>
            </w:pPr>
            <w:r/>
            <w:r>
              <w:rPr>
                <w:b w:val="0"/>
                <w:color w:val="16181D"/>
                <w:sz w:val="11"/>
              </w:rPr>
              <w:t>Q2 (2024) / Q1 (2025) confirmed</w:t>
            </w:r>
          </w:p>
        </w:tc>
        <w:tc>
          <w:tcPr>
            <w:tcW w:type="dxa" w:w="1757"/>
          </w:tcPr>
          <w:p>
            <w:pPr>
              <w:spacing w:after="10" w:before="10"/>
            </w:pPr>
            <w:r/>
            <w:r>
              <w:rPr>
                <w:b w:val="0"/>
                <w:color w:val="16181D"/>
                <w:sz w:val="11"/>
              </w:rPr>
              <w:t>Deep RL for FlipIt-game deception strategy selection.</w:t>
            </w:r>
          </w:p>
        </w:tc>
        <w:tc>
          <w:tcPr>
            <w:tcW w:type="dxa" w:w="1616"/>
          </w:tcPr>
          <w:p>
            <w:pPr>
              <w:spacing w:after="10" w:before="10"/>
            </w:pPr>
            <w:r/>
            <w:r>
              <w:rPr>
                <w:b w:val="0"/>
                <w:color w:val="16181D"/>
                <w:sz w:val="11"/>
              </w:rPr>
              <w:t>FlipIt game model. Not verified as released.</w:t>
            </w:r>
          </w:p>
        </w:tc>
        <w:tc>
          <w:tcPr>
            <w:tcW w:type="dxa" w:w="1701"/>
          </w:tcPr>
          <w:p>
            <w:pPr>
              <w:spacing w:after="10" w:before="10"/>
            </w:pPr>
            <w:r/>
            <w:r>
              <w:rPr>
                <w:b w:val="0"/>
                <w:color w:val="16181D"/>
                <w:sz w:val="11"/>
              </w:rPr>
              <w:t>FlipIt game outcomes.</w:t>
            </w:r>
          </w:p>
        </w:tc>
        <w:tc>
          <w:tcPr>
            <w:tcW w:type="dxa" w:w="1361"/>
          </w:tcPr>
          <w:p>
            <w:pPr>
              <w:spacing w:after="10" w:before="10"/>
            </w:pPr>
            <w:r/>
            <w:r>
              <w:rPr>
                <w:b w:val="0"/>
                <w:color w:val="16181D"/>
                <w:sz w:val="11"/>
              </w:rPr>
              <w:t>None — FlipIt measures control of a resource over time, not engagement.</w:t>
            </w:r>
          </w:p>
        </w:tc>
        <w:tc>
          <w:tcPr>
            <w:tcW w:type="dxa" w:w="1332"/>
          </w:tcPr>
          <w:p>
            <w:pPr>
              <w:spacing w:after="10" w:before="10"/>
            </w:pPr>
            <w:r/>
            <w:r>
              <w:rPr>
                <w:b w:val="0"/>
                <w:color w:val="16181D"/>
                <w:sz w:val="11"/>
              </w:rPr>
              <w:t>WEAK — deception strategy selection, but the FlipIt abstraction has no topology and no attacker action stream.</w:t>
            </w:r>
          </w:p>
        </w:tc>
        <w:tc>
          <w:tcPr>
            <w:tcW w:type="dxa" w:w="1559"/>
          </w:tcPr>
          <w:p>
            <w:pPr>
              <w:spacing w:after="10" w:before="10"/>
            </w:pPr>
            <w:r/>
            <w:r>
              <w:rPr>
                <w:b w:val="0"/>
                <w:color w:val="A4302B"/>
                <w:sz w:val="11"/>
              </w:rPr>
              <w:t>(a) FAIL — FlipIt is a timing game over resource control. (b) FAIL — no placement.</w:t>
            </w:r>
          </w:p>
        </w:tc>
        <w:tc>
          <w:tcPr>
            <w:tcW w:type="dxa" w:w="1219"/>
          </w:tcPr>
          <w:p>
            <w:pPr>
              <w:spacing w:after="10" w:before="10"/>
            </w:pPr>
            <w:r/>
            <w:r>
              <w:rPr>
                <w:b w:val="0"/>
                <w:color w:val="16181D"/>
                <w:sz w:val="11"/>
              </w:rPr>
              <w:t>Not verified.</w:t>
            </w:r>
          </w:p>
        </w:tc>
        <w:tc>
          <w:tcPr>
            <w:tcW w:type="dxa" w:w="1474"/>
          </w:tcPr>
          <w:p>
            <w:pPr>
              <w:spacing w:after="10" w:before="10"/>
            </w:pPr>
            <w:r/>
            <w:r>
              <w:rPr>
                <w:b/>
                <w:color w:val="16181D"/>
                <w:sz w:val="11"/>
              </w:rPr>
              <w:t>CODE + DATASET.</w:t>
            </w:r>
          </w:p>
        </w:tc>
      </w:tr>
      <w:tr>
        <w:tc>
          <w:tcPr>
            <w:tcW w:type="dxa" w:w="1304"/>
          </w:tcPr>
          <w:p>
            <w:pPr>
              <w:spacing w:after="10" w:before="10"/>
            </w:pPr>
            <w:r/>
            <w:r>
              <w:rPr>
                <w:b/>
                <w:color w:val="16181D"/>
                <w:sz w:val="11"/>
              </w:rPr>
              <w:t>Q-Cowrie — Var Naseri, Welch &amp; Haseeb [PARTIAL]</w:t>
            </w:r>
          </w:p>
        </w:tc>
        <w:tc>
          <w:tcPr>
            <w:tcW w:type="dxa" w:w="1162"/>
          </w:tcPr>
          <w:p>
            <w:pPr>
              <w:spacing w:after="10" w:before="10"/>
            </w:pPr>
            <w:r/>
            <w:r>
              <w:rPr>
                <w:b w:val="0"/>
                <w:color w:val="16181D"/>
                <w:sz w:val="11"/>
              </w:rPr>
              <w:t>10.1007/s10207-026-01221-5</w:t>
            </w:r>
          </w:p>
        </w:tc>
        <w:tc>
          <w:tcPr>
            <w:tcW w:type="dxa" w:w="1332"/>
          </w:tcPr>
          <w:p>
            <w:pPr>
              <w:spacing w:after="10" w:before="10"/>
            </w:pPr>
            <w:r/>
            <w:r>
              <w:rPr>
                <w:b w:val="0"/>
                <w:color w:val="16181D"/>
                <w:sz w:val="11"/>
              </w:rPr>
              <w:t>International Journal of Information Security 25, 2026</w:t>
            </w:r>
          </w:p>
        </w:tc>
        <w:tc>
          <w:tcPr>
            <w:tcW w:type="dxa" w:w="794"/>
          </w:tcPr>
          <w:p>
            <w:pPr>
              <w:spacing w:after="10" w:before="10"/>
            </w:pPr>
            <w:r/>
            <w:r>
              <w:rPr>
                <w:b w:val="0"/>
                <w:color w:val="16181D"/>
                <w:sz w:val="11"/>
              </w:rPr>
              <w:t>Q1 (2025, confirmed)</w:t>
            </w:r>
          </w:p>
        </w:tc>
        <w:tc>
          <w:tcPr>
            <w:tcW w:type="dxa" w:w="1757"/>
          </w:tcPr>
          <w:p>
            <w:pPr>
              <w:spacing w:after="10" w:before="10"/>
            </w:pPr>
            <w:r/>
            <w:r>
              <w:rPr>
                <w:b w:val="0"/>
                <w:color w:val="16181D"/>
                <w:sz w:val="11"/>
              </w:rPr>
              <w:t>Q-learning over an MDP selecting Cowrie responses. Single agent.</w:t>
            </w:r>
          </w:p>
        </w:tc>
        <w:tc>
          <w:tcPr>
            <w:tcW w:type="dxa" w:w="1616"/>
          </w:tcPr>
          <w:p>
            <w:pPr>
              <w:spacing w:after="10" w:before="10"/>
            </w:pPr>
            <w:r/>
            <w:r>
              <w:rPr>
                <w:b w:val="0"/>
                <w:color w:val="16181D"/>
                <w:sz w:val="11"/>
              </w:rPr>
              <w:t>More than 400,000 real Cowrie sessions. NOT released — email only.</w:t>
            </w:r>
          </w:p>
        </w:tc>
        <w:tc>
          <w:tcPr>
            <w:tcW w:type="dxa" w:w="1701"/>
          </w:tcPr>
          <w:p>
            <w:pPr>
              <w:spacing w:after="10" w:before="10"/>
            </w:pPr>
            <w:r/>
            <w:r>
              <w:rPr>
                <w:b w:val="0"/>
                <w:color w:val="16181D"/>
                <w:sz w:val="11"/>
              </w:rPr>
              <w:t>Engagement and session-length measures. Values not verified.</w:t>
            </w:r>
          </w:p>
        </w:tc>
        <w:tc>
          <w:tcPr>
            <w:tcW w:type="dxa" w:w="1361"/>
          </w:tcPr>
          <w:p>
            <w:pPr>
              <w:spacing w:after="10" w:before="10"/>
            </w:pPr>
            <w:r/>
            <w:r>
              <w:rPr>
                <w:b w:val="0"/>
                <w:color w:val="16181D"/>
                <w:sz w:val="11"/>
              </w:rPr>
              <w:t>Session length as a dwell proxy, in commands rather than steps.</w:t>
            </w:r>
          </w:p>
        </w:tc>
        <w:tc>
          <w:tcPr>
            <w:tcW w:type="dxa" w:w="1332"/>
          </w:tcPr>
          <w:p>
            <w:pPr>
              <w:spacing w:after="10" w:before="10"/>
            </w:pPr>
            <w:r/>
            <w:r>
              <w:rPr>
                <w:b w:val="0"/>
                <w:color w:val="16181D"/>
                <w:sz w:val="11"/>
              </w:rPr>
              <w:t>MODERATE — same response-shaping family as the TMLCN paper, but on SSH rather than ICS and with no published algorithm table I have verified.</w:t>
            </w:r>
          </w:p>
        </w:tc>
        <w:tc>
          <w:tcPr>
            <w:tcW w:type="dxa" w:w="1559"/>
          </w:tcPr>
          <w:p>
            <w:pPr>
              <w:spacing w:after="10" w:before="10"/>
            </w:pPr>
            <w:r/>
            <w:r>
              <w:rPr>
                <w:b w:val="0"/>
                <w:color w:val="1F6F4A"/>
                <w:sz w:val="11"/>
              </w:rPr>
              <w:t>(a) PASS in principle — real attackers issue command sequences. (b) FAIL — response selection, not placement. (c) PARTIAL.</w:t>
            </w:r>
          </w:p>
        </w:tc>
        <w:tc>
          <w:tcPr>
            <w:tcW w:type="dxa" w:w="1219"/>
          </w:tcPr>
          <w:p>
            <w:pPr>
              <w:spacing w:after="10" w:before="10"/>
            </w:pPr>
            <w:r/>
            <w:r>
              <w:rPr>
                <w:b w:val="0"/>
                <w:color w:val="16181D"/>
                <w:sz w:val="11"/>
              </w:rPr>
              <w:t>None. Data by email only.</w:t>
            </w:r>
          </w:p>
        </w:tc>
        <w:tc>
          <w:tcPr>
            <w:tcW w:type="dxa" w:w="1474"/>
          </w:tcPr>
          <w:p>
            <w:pPr>
              <w:spacing w:after="10" w:before="10"/>
            </w:pPr>
            <w:r/>
            <w:r>
              <w:rPr>
                <w:b/>
                <w:color w:val="16181D"/>
                <w:sz w:val="11"/>
              </w:rPr>
              <w:t>DATASET (by email) + CODE. Strictly worse than the TMLCN paper as a comparator, because that one publishes its full algorithm.</w:t>
            </w:r>
          </w:p>
        </w:tc>
      </w:tr>
      <w:tr>
        <w:tc>
          <w:tcPr>
            <w:tcW w:type="dxa" w:w="1304"/>
          </w:tcPr>
          <w:p>
            <w:pPr>
              <w:spacing w:after="10" w:before="10"/>
            </w:pPr>
            <w:r/>
            <w:r>
              <w:rPr>
                <w:b/>
                <w:color w:val="16181D"/>
                <w:sz w:val="11"/>
              </w:rPr>
              <w:t>SG-MAPPO — Yang et al. [FULL]</w:t>
            </w:r>
          </w:p>
        </w:tc>
        <w:tc>
          <w:tcPr>
            <w:tcW w:type="dxa" w:w="1162"/>
          </w:tcPr>
          <w:p>
            <w:pPr>
              <w:spacing w:after="10" w:before="10"/>
            </w:pPr>
            <w:r/>
            <w:r>
              <w:rPr>
                <w:b w:val="0"/>
                <w:color w:val="16181D"/>
                <w:sz w:val="11"/>
              </w:rPr>
              <w:t>see IEEE IoT-J 12(20)</w:t>
            </w:r>
          </w:p>
        </w:tc>
        <w:tc>
          <w:tcPr>
            <w:tcW w:type="dxa" w:w="1332"/>
          </w:tcPr>
          <w:p>
            <w:pPr>
              <w:spacing w:after="10" w:before="10"/>
            </w:pPr>
            <w:r/>
            <w:r>
              <w:rPr>
                <w:b w:val="0"/>
                <w:color w:val="16181D"/>
                <w:sz w:val="11"/>
              </w:rPr>
              <w:t>IEEE Internet of Things Journal 12(20), 41451–41464, 2025</w:t>
            </w:r>
          </w:p>
        </w:tc>
        <w:tc>
          <w:tcPr>
            <w:tcW w:type="dxa" w:w="794"/>
          </w:tcPr>
          <w:p>
            <w:pPr>
              <w:spacing w:after="10" w:before="10"/>
            </w:pPr>
            <w:r/>
            <w:r>
              <w:rPr>
                <w:b w:val="0"/>
                <w:color w:val="16181D"/>
                <w:sz w:val="11"/>
              </w:rPr>
              <w:t>Q1 (2024)</w:t>
            </w:r>
          </w:p>
        </w:tc>
        <w:tc>
          <w:tcPr>
            <w:tcW w:type="dxa" w:w="1757"/>
          </w:tcPr>
          <w:p>
            <w:pPr>
              <w:spacing w:after="10" w:before="10"/>
            </w:pPr>
            <w:r/>
            <w:r>
              <w:rPr>
                <w:b w:val="0"/>
                <w:color w:val="16181D"/>
                <w:sz w:val="11"/>
              </w:rPr>
              <w:t>MAPPO with LSTM and discounted Bayesian belief updates over a multistage signalling game, N=5, T=50. Every parameter in Table III; Algorithm 1 published.</w:t>
            </w:r>
          </w:p>
        </w:tc>
        <w:tc>
          <w:tcPr>
            <w:tcW w:type="dxa" w:w="1616"/>
          </w:tcPr>
          <w:p>
            <w:pPr>
              <w:spacing w:after="10" w:before="10"/>
            </w:pPr>
            <w:r/>
            <w:r>
              <w:rPr>
                <w:b w:val="0"/>
                <w:color w:val="16181D"/>
                <w:sz w:val="11"/>
              </w:rPr>
              <w:t>Simulator only (PettingZoo AECEnv). Python 3.9.21, Ray 2.44.1, PyTorch 2.6.0.</w:t>
            </w:r>
          </w:p>
        </w:tc>
        <w:tc>
          <w:tcPr>
            <w:tcW w:type="dxa" w:w="1701"/>
          </w:tcPr>
          <w:p>
            <w:pPr>
              <w:spacing w:after="10" w:before="10"/>
            </w:pPr>
            <w:r/>
            <w:r>
              <w:rPr>
                <w:b w:val="0"/>
                <w:color w:val="16181D"/>
                <w:sz w:val="11"/>
              </w:rPr>
              <w:t>Convergence 160 steps / 288.0 s, vs MATRPO 200/620.0, MAA2C 300/450.0, MADDPG 250/550.0.</w:t>
            </w:r>
          </w:p>
        </w:tc>
        <w:tc>
          <w:tcPr>
            <w:tcW w:type="dxa" w:w="1361"/>
          </w:tcPr>
          <w:p>
            <w:pPr>
              <w:spacing w:after="10" w:before="10"/>
            </w:pPr>
            <w:r/>
            <w:r>
              <w:rPr>
                <w:b w:val="0"/>
                <w:color w:val="16181D"/>
                <w:sz w:val="11"/>
              </w:rPr>
              <w:t>None — convergence speed and wall-clock say nothing about deception quality.</w:t>
            </w:r>
          </w:p>
        </w:tc>
        <w:tc>
          <w:tcPr>
            <w:tcW w:type="dxa" w:w="1332"/>
          </w:tcPr>
          <w:p>
            <w:pPr>
              <w:spacing w:after="10" w:before="10"/>
            </w:pPr>
            <w:r/>
            <w:r>
              <w:rPr>
                <w:b w:val="0"/>
                <w:color w:val="16181D"/>
                <w:sz w:val="11"/>
              </w:rPr>
              <w:t>WEAK despite being MARL — binary signal per host, binary attack/retreat. No techniques, no decoy types, no capacity.</w:t>
            </w:r>
          </w:p>
        </w:tc>
        <w:tc>
          <w:tcPr>
            <w:tcW w:type="dxa" w:w="1559"/>
          </w:tcPr>
          <w:p>
            <w:pPr>
              <w:spacing w:after="10" w:before="10"/>
            </w:pPr>
            <w:r/>
            <w:r>
              <w:rPr>
                <w:b w:val="0"/>
                <w:color w:val="A4302B"/>
                <w:sz w:val="11"/>
              </w:rPr>
              <w:t>(a) FAIL — one binary decision per host per step, so our encoder has nothing to read. (b) FAIL — signalling, not placement.</w:t>
            </w:r>
          </w:p>
        </w:tc>
        <w:tc>
          <w:tcPr>
            <w:tcW w:type="dxa" w:w="1219"/>
          </w:tcPr>
          <w:p>
            <w:pPr>
              <w:spacing w:after="10" w:before="10"/>
            </w:pPr>
            <w:r/>
            <w:r>
              <w:rPr>
                <w:b w:val="0"/>
                <w:color w:val="16181D"/>
                <w:sz w:val="11"/>
              </w:rPr>
              <w:t>None.</w:t>
            </w:r>
          </w:p>
        </w:tc>
        <w:tc>
          <w:tcPr>
            <w:tcW w:type="dxa" w:w="1474"/>
          </w:tcPr>
          <w:p>
            <w:pPr>
              <w:spacing w:after="10" w:before="10"/>
            </w:pPr>
            <w:r/>
            <w:r>
              <w:rPr>
                <w:b/>
                <w:color w:val="16181D"/>
                <w:sz w:val="11"/>
              </w:rPr>
              <w:t>ε_D and ε_A never given values; no seed count; headline results are figures not tables; 288 s is an i9-13900K measurement that cannot be reproduced on other hardware.</w:t>
            </w:r>
          </w:p>
        </w:tc>
      </w:tr>
      <w:tr>
        <w:tc>
          <w:tcPr>
            <w:tcW w:type="dxa" w:w="1304"/>
          </w:tcPr>
          <w:p>
            <w:pPr>
              <w:spacing w:after="10" w:before="10"/>
            </w:pPr>
            <w:r/>
            <w:r>
              <w:rPr>
                <w:b/>
                <w:color w:val="16181D"/>
                <w:sz w:val="11"/>
              </w:rPr>
              <w:t>Li, Zhao &amp; Wu — DRD-PPO [FULL]</w:t>
            </w:r>
          </w:p>
        </w:tc>
        <w:tc>
          <w:tcPr>
            <w:tcW w:type="dxa" w:w="1162"/>
          </w:tcPr>
          <w:p>
            <w:pPr>
              <w:spacing w:after="10" w:before="10"/>
            </w:pPr>
            <w:r/>
            <w:r>
              <w:rPr>
                <w:b w:val="0"/>
                <w:color w:val="16181D"/>
                <w:sz w:val="11"/>
              </w:rPr>
              <w:t>see Sci Rep 15:16830</w:t>
            </w:r>
          </w:p>
        </w:tc>
        <w:tc>
          <w:tcPr>
            <w:tcW w:type="dxa" w:w="1332"/>
          </w:tcPr>
          <w:p>
            <w:pPr>
              <w:spacing w:after="10" w:before="10"/>
            </w:pPr>
            <w:r/>
            <w:r>
              <w:rPr>
                <w:b w:val="0"/>
                <w:color w:val="16181D"/>
                <w:sz w:val="11"/>
              </w:rPr>
              <w:t>Scientific Reports 15, 16830, 2025</w:t>
            </w:r>
          </w:p>
        </w:tc>
        <w:tc>
          <w:tcPr>
            <w:tcW w:type="dxa" w:w="794"/>
          </w:tcPr>
          <w:p>
            <w:pPr>
              <w:spacing w:after="10" w:before="10"/>
            </w:pPr>
            <w:r/>
            <w:r>
              <w:rPr>
                <w:b w:val="0"/>
                <w:color w:val="16181D"/>
                <w:sz w:val="11"/>
              </w:rPr>
              <w:t>check</w:t>
            </w:r>
          </w:p>
        </w:tc>
        <w:tc>
          <w:tcPr>
            <w:tcW w:type="dxa" w:w="1757"/>
          </w:tcPr>
          <w:p>
            <w:pPr>
              <w:spacing w:after="10" w:before="10"/>
            </w:pPr>
            <w:r/>
            <w:r>
              <w:rPr>
                <w:b w:val="0"/>
                <w:color w:val="16181D"/>
                <w:sz w:val="11"/>
              </w:rPr>
              <w:t>PPO over a 3-subnet, 7-asset NetworkX topology; 500 episodes × 30 steps, Adam lr 0.005, discount 0.9, actor one hidden layer width 32, Softmax.</w:t>
            </w:r>
          </w:p>
        </w:tc>
        <w:tc>
          <w:tcPr>
            <w:tcW w:type="dxa" w:w="1616"/>
          </w:tcPr>
          <w:p>
            <w:pPr>
              <w:spacing w:after="10" w:before="10"/>
            </w:pPr>
            <w:r/>
            <w:r>
              <w:rPr>
                <w:b w:val="0"/>
                <w:color w:val="16181D"/>
                <w:sz w:val="11"/>
              </w:rPr>
              <w:t>Simulator only. Table 1 lists exact CVEs per asset.</w:t>
            </w:r>
          </w:p>
        </w:tc>
        <w:tc>
          <w:tcPr>
            <w:tcW w:type="dxa" w:w="1701"/>
          </w:tcPr>
          <w:p>
            <w:pPr>
              <w:spacing w:after="10" w:before="10"/>
            </w:pPr>
            <w:r/>
            <w:r>
              <w:rPr>
                <w:b w:val="0"/>
                <w:color w:val="16181D"/>
                <w:sz w:val="11"/>
              </w:rPr>
              <w:t>DSP 97.09 (500 confrontations) vs 28.43 / 98.31 / 55.19; 98.61 at 1,500 vs DRD-Q 95.32, DRD-SAC 78.89, DRD-PG 87.13.</w:t>
            </w:r>
          </w:p>
        </w:tc>
        <w:tc>
          <w:tcPr>
            <w:tcW w:type="dxa" w:w="1361"/>
          </w:tcPr>
          <w:p>
            <w:pPr>
              <w:spacing w:after="10" w:before="10"/>
            </w:pPr>
            <w:r/>
            <w:r>
              <w:rPr>
                <w:b w:val="0"/>
                <w:color w:val="16181D"/>
                <w:sz w:val="11"/>
              </w:rPr>
              <w:t>Their DSP is computable for us — a genuine protection-rate bridge.</w:t>
            </w:r>
          </w:p>
        </w:tc>
        <w:tc>
          <w:tcPr>
            <w:tcW w:type="dxa" w:w="1332"/>
          </w:tcPr>
          <w:p>
            <w:pPr>
              <w:spacing w:after="10" w:before="10"/>
            </w:pPr>
            <w:r/>
            <w:r>
              <w:rPr>
                <w:b w:val="0"/>
                <w:color w:val="16181D"/>
                <w:sz w:val="11"/>
              </w:rPr>
              <w:t>MODERATE — placement over 3 subnets maps onto our zones, but the attacker does one reconnaissance pass and one strike.</w:t>
            </w:r>
          </w:p>
        </w:tc>
        <w:tc>
          <w:tcPr>
            <w:tcW w:type="dxa" w:w="1559"/>
          </w:tcPr>
          <w:p>
            <w:pPr>
              <w:spacing w:after="10" w:before="10"/>
            </w:pPr>
            <w:r/>
            <w:r>
              <w:rPr>
                <w:b w:val="0"/>
                <w:color w:val="A4302B"/>
                <w:sz w:val="11"/>
              </w:rPr>
              <w:t>(a) FAIL — single-shot attacker. (b) PASS — deception-resource placement. (c) PASS — DSP. Two of three, failing the one that matters most to us.</w:t>
            </w:r>
          </w:p>
        </w:tc>
        <w:tc>
          <w:tcPr>
            <w:tcW w:type="dxa" w:w="1219"/>
          </w:tcPr>
          <w:p>
            <w:pPr>
              <w:spacing w:after="10" w:before="10"/>
            </w:pPr>
            <w:r/>
            <w:r>
              <w:rPr>
                <w:b w:val="0"/>
                <w:color w:val="16181D"/>
                <w:sz w:val="11"/>
              </w:rPr>
              <w:t>None.</w:t>
            </w:r>
          </w:p>
        </w:tc>
        <w:tc>
          <w:tcPr>
            <w:tcW w:type="dxa" w:w="1474"/>
          </w:tcPr>
          <w:p>
            <w:pPr>
              <w:spacing w:after="10" w:before="10"/>
            </w:pPr>
            <w:r/>
            <w:r>
              <w:rPr>
                <w:b/>
                <w:color w:val="16181D"/>
                <w:sz w:val="11"/>
              </w:rPr>
              <w:t>R1, R2 and w never given; clip factor is 0.2 in the text but 0.9 in Table 2; Table 2 swaps the host and server labels against the topology; no seed count.</w:t>
            </w:r>
          </w:p>
        </w:tc>
      </w:tr>
    </w:tbl>
    <w:p>
      <w:pPr>
        <w:spacing w:after="200"/>
      </w:pPr>
      <w:r>
        <w:rPr>
          <w:b w:val="0"/>
          <w:color w:val="565D6B"/>
          <w:sz w:val="14"/>
        </w:rPr>
        <w:t>Verification:  FULL = full text read (Co-ADAM via PMC13473561, TMLCN via the author-hosted PDF, SG-MAPPO and DRD-PPO from the PDFs you supplied).  PARTIAL = key facts confirmed from the publisher record.  METADATA = only the Crossref record verified.  UNSCORED means the publisher blocks automated access or the paper is paywalled — not a pass, not a fail, and no precondition was guessed.  Quartiles: only IEEE IoT-J (Q1 2024) and IJIS / IJ Information Security are confirmed; every 'check' is unverified because Scimago blocks automation.</w:t>
      </w:r>
    </w:p>
    <w:p>
      <w:pPr>
        <w:spacing w:before="240" w:after="100"/>
        <w:pBdr>
          <w:bottom w:val="single" w:sz="12" w:color="16181D" w:space="2"/>
        </w:pBdr>
      </w:pPr>
      <w:r>
        <w:rPr>
          <w:b/>
          <w:color w:val="16181D"/>
          <w:sz w:val="30"/>
        </w:rPr>
        <w:t>Verdict</w:t>
      </w:r>
    </w:p>
    <w:p>
      <w:pPr>
        <w:spacing w:after="100"/>
      </w:pPr>
      <w:r>
        <w:rPr>
          <w:b w:val="0"/>
          <w:color w:val="565D6B"/>
          <w:sz w:val="18"/>
        </w:rPr>
        <w:t>THE DECEPTION HALF NOW HAS TWO CANDIDATES, WHICH IT DID NOT HAVE BEFORE. My earlier conclusion that zero papers pass Idea 03 (a) was based on SG-MAPPO and DRD-PPO alone and is now out of date. Co-ADAM's attacker acts every step over 100 steps across three zones, and the TMLCN honeypot's attacker walks a scripted ICS tactic chain that its own actions reshape. Both pass (a). Neither passes (b): Co-ADAM selects composite defence profiles rather than placing decoys per zone, and the TMLCN system shapes responses on a single honeypot. So the transplant is still not clean, but it is no longer impossible.</w:t>
      </w:r>
    </w:p>
    <w:p>
      <w:pPr>
        <w:spacing w:after="100"/>
      </w:pPr>
      <w:r>
        <w:rPr>
          <w:b w:val="0"/>
          <w:color w:val="565D6B"/>
          <w:sz w:val="18"/>
        </w:rPr>
        <w:t>CO-ADAM IS THE ONE TO REPRODUCE, WITH EYES OPEN. Its artifact claim is real and I checked it end to end: the repository exists with the training loop, environment, all nine phase scripts and the figure scripts, archived on Zenodo under CC BY 4.0. Three caveats the artifact does not remove — no seeds or run counts are stated anywhere, so AMR 0.8363 is a point estimate of unknown variance; the code is MATLAB, not Python; and the README's documented run commands point at subfolders that do not exist in the repository.</w:t>
      </w:r>
    </w:p>
    <w:p>
      <w:pPr>
        <w:spacing w:after="100"/>
      </w:pPr>
      <w:r>
        <w:rPr>
          <w:b w:val="0"/>
          <w:color w:val="565D6B"/>
          <w:sz w:val="18"/>
        </w:rPr>
        <w:t>THE TMLCN PAPER IS THE CLOSEST IN PURPOSE AND THE FURTHEST IN UNITS. It optimises what we optimise and penalises detection as we do. But its depth is the maximum tactic index on an ordinal 1–12 scale while ours is the cardinality of a technique set on 0–84, and its engagement is wall-clock seconds on a live Modbus session while ours is a count of engaged steps. Reporting these side by side without converting would be exactly the error of relabelling one metric as another. The right use is a shared-environment adapted comparison, reported separately from any reproduction.</w:t>
      </w:r>
    </w:p>
    <w:p>
      <w:pPr>
        <w:spacing w:after="100"/>
      </w:pPr>
      <w:r>
        <w:rPr>
          <w:b w:val="0"/>
          <w:color w:val="565D6B"/>
          <w:sz w:val="18"/>
        </w:rPr>
        <w:t>TWO PDFS ARE THE WHOLE REMAINING UPSIDE. The TNSM paper (Hwang, Huang &amp; Lai) is from the same group as the TMLCN paper and is MITRE Engage aligned, and Kong et al. is on paper the best MARL-plus-placement match after Hawkeyes. Both are unscored only because they are paywalled or 403-blocked. Get these two before committing to a comparator.</w:t>
      </w:r>
    </w:p>
    <w:sectPr w:rsidR="00FC693F" w:rsidRPr="0006063C" w:rsidSect="00034616">
      <w:pgSz w:w="16838" w:h="11906" w:orient="landscape"/>
      <w:pgMar w:top="510" w:right="454" w:bottom="510" w:left="4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color w:val="16181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