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6181D"/>
          <w:sz w:val="34"/>
        </w:rPr>
        <w:t>Finalised comparator list — scored against the Idea 01 and Idea 02 preconditions</w:t>
      </w:r>
    </w:p>
    <w:p>
      <w:pPr>
        <w:spacing w:after="160"/>
      </w:pPr>
      <w:r>
        <w:rPr>
          <w:b w:val="0"/>
          <w:color w:val="565D6B"/>
          <w:sz w:val="17"/>
        </w:rPr>
        <w:t>23 papers re-evaluated · every DOI Crossref-verified · 1 clears Idea 01, 2 clear Idea 02 (one conditionally), 0 clear Idea 03 · 2026-10-13</w:t>
      </w:r>
    </w:p>
    <w:p>
      <w:pPr>
        <w:spacing w:before="80" w:after="100"/>
        <w:pBdr>
          <w:bottom w:val="single" w:sz="12" w:color="16181D" w:space="2"/>
        </w:pBdr>
      </w:pPr>
      <w:r>
        <w:rPr>
          <w:b/>
          <w:color w:val="16181D"/>
          <w:sz w:val="30"/>
        </w:rPr>
        <w:t>The preconditions being applied</w:t>
      </w:r>
    </w:p>
    <w:p>
      <w:pPr>
        <w:spacing w:after="80"/>
      </w:pPr>
      <w:r>
        <w:rPr>
          <w:b w:val="0"/>
          <w:color w:val="565D6B"/>
          <w:sz w:val="16"/>
        </w:rPr>
        <w:t>IDEA 01 — their published method as a baseline on OUR data.  P1 zero fabricated inputs: every field their model reads must be a function of our command stream, technique multi-hot or scenario label.  P2 reducible output space: their labels are ours or a superset with a fixed mapping to our 84 sub-techniques.  P3 completely specified: released code, or pseudocode plus every hyperparameter.  P4 variance accounted: deterministic, or seedable with our own variance reported.</w:t>
      </w:r>
    </w:p>
    <w:p>
      <w:pPr>
        <w:spacing w:after="80"/>
      </w:pPr>
      <w:r>
        <w:rPr>
          <w:b w:val="0"/>
          <w:color w:val="565D6B"/>
          <w:sz w:val="16"/>
        </w:rPr>
        <w:t>IDEA 02 — our model, unchanged, on THEIR released data.  Q1 actually released under a usable licence (‘by email’ does not count).  Q2 ordered actions at command or event granularity.  Q3 labels at our target granularity, or a released deterministic procedure to derive them.  Q4 volume enough for our split protocol without cross-session leakage.</w:t>
      </w:r>
    </w:p>
    <w:p>
      <w:pPr>
        <w:spacing w:after="80"/>
      </w:pPr>
      <w:r>
        <w:rPr>
          <w:b w:val="0"/>
          <w:color w:val="565D6B"/>
          <w:sz w:val="16"/>
        </w:rPr>
        <w:t>IDEA 03 — our method inside their published environment.  (a) a sequential attacker emitting an action stream.  (b) a defender action space that is resource placement.  (c) a computable shared metric.</w:t>
      </w:r>
    </w:p>
    <w:p>
      <w:pPr>
        <w:spacing w:after="160"/>
      </w:pPr>
      <w:r>
        <w:rPr>
          <w:b/>
          <w:color w:val="A4302B"/>
          <w:sz w:val="16"/>
        </w:rPr>
        <w:t>All three ideas are PREDICTION-HALF ONLY by construction, except Idea 03. No public corpus carries declared zones or a declared campaign goal, so dwell, interaction depth and protection rate have no external comparator in this table.</w:t>
      </w:r>
    </w:p>
    <w:p>
      <w:pPr>
        <w:spacing w:before="240" w:after="100"/>
        <w:pBdr>
          <w:bottom w:val="single" w:sz="12" w:color="16181D" w:space="2"/>
        </w:pBdr>
      </w:pPr>
      <w:r>
        <w:rPr>
          <w:b/>
          <w:color w:val="16181D"/>
          <w:sz w:val="30"/>
        </w:rPr>
        <w:t>Section 2 — The matrix</w:t>
      </w:r>
    </w:p>
    <w:p>
      <w:pPr>
        <w:spacing w:after="120"/>
      </w:pPr>
      <w:r>
        <w:rPr>
          <w:b w:val="0"/>
          <w:color w:val="565D6B"/>
          <w:sz w:val="17"/>
        </w:rPr>
        <w:t>Idea 01 = run our dataset through their model.   Idea 02 = run their dataset through our model.   Reproducible column shows WHAT IS MISSING to reproduce the paper.</w:t>
      </w:r>
    </w:p>
    <w:tbl>
      <w:tblPr>
        <w:tblStyle w:val="TableGrid"/>
        <w:tblW w:type="auto" w:w="0"/>
        <w:jc w:val="center"/>
        <w:tblLayout w:type="fixed"/>
        <w:tblLook w:firstColumn="1" w:firstRow="1" w:lastColumn="0" w:lastRow="0" w:noHBand="0" w:noVBand="1" w:val="04A0"/>
      </w:tblPr>
      <w:tblGrid>
        <w:gridCol w:w="1327"/>
        <w:gridCol w:w="1327"/>
        <w:gridCol w:w="1327"/>
        <w:gridCol w:w="1327"/>
        <w:gridCol w:w="1327"/>
        <w:gridCol w:w="1327"/>
        <w:gridCol w:w="1327"/>
        <w:gridCol w:w="1327"/>
        <w:gridCol w:w="1327"/>
        <w:gridCol w:w="1327"/>
        <w:gridCol w:w="1327"/>
        <w:gridCol w:w="1327"/>
      </w:tblGrid>
      <w:tr>
        <w:trPr>
          <w:tblHeader w:val="true"/>
        </w:trPr>
        <w:tc>
          <w:tcPr>
            <w:tcW w:type="dxa" w:w="1332"/>
            <w:shd w:val="clear" w:fill="F3F1ED"/>
          </w:tcPr>
          <w:p>
            <w:pPr>
              <w:spacing w:after="10" w:before="10"/>
            </w:pPr>
            <w:r/>
            <w:r>
              <w:rPr>
                <w:b/>
                <w:color w:val="565D6B"/>
                <w:sz w:val="12"/>
              </w:rPr>
              <w:t>Paper</w:t>
            </w:r>
          </w:p>
        </w:tc>
        <w:tc>
          <w:tcPr>
            <w:tcW w:type="dxa" w:w="1276"/>
            <w:shd w:val="clear" w:fill="F3F1ED"/>
          </w:tcPr>
          <w:p>
            <w:pPr>
              <w:spacing w:after="10" w:before="10"/>
            </w:pPr>
            <w:r/>
            <w:r>
              <w:rPr>
                <w:b/>
                <w:color w:val="565D6B"/>
                <w:sz w:val="12"/>
              </w:rPr>
              <w:t>DOI</w:t>
            </w:r>
          </w:p>
        </w:tc>
        <w:tc>
          <w:tcPr>
            <w:tcW w:type="dxa" w:w="1389"/>
            <w:shd w:val="clear" w:fill="F3F1ED"/>
          </w:tcPr>
          <w:p>
            <w:pPr>
              <w:spacing w:after="10" w:before="10"/>
            </w:pPr>
            <w:r/>
            <w:r>
              <w:rPr>
                <w:b/>
                <w:color w:val="565D6B"/>
                <w:sz w:val="12"/>
              </w:rPr>
              <w:t>Journal / year</w:t>
            </w:r>
          </w:p>
        </w:tc>
        <w:tc>
          <w:tcPr>
            <w:tcW w:type="dxa" w:w="765"/>
            <w:shd w:val="clear" w:fill="F3F1ED"/>
          </w:tcPr>
          <w:p>
            <w:pPr>
              <w:spacing w:after="10" w:before="10"/>
            </w:pPr>
            <w:r/>
            <w:r>
              <w:rPr>
                <w:b/>
                <w:color w:val="565D6B"/>
                <w:sz w:val="12"/>
              </w:rPr>
              <w:t>Q</w:t>
            </w:r>
          </w:p>
        </w:tc>
        <w:tc>
          <w:tcPr>
            <w:tcW w:type="dxa" w:w="1786"/>
            <w:shd w:val="clear" w:fill="F3F1ED"/>
          </w:tcPr>
          <w:p>
            <w:pPr>
              <w:spacing w:after="10" w:before="10"/>
            </w:pPr>
            <w:r/>
            <w:r>
              <w:rPr>
                <w:b/>
                <w:color w:val="565D6B"/>
                <w:sz w:val="12"/>
              </w:rPr>
              <w:t>Exact model</w:t>
            </w:r>
          </w:p>
        </w:tc>
        <w:tc>
          <w:tcPr>
            <w:tcW w:type="dxa" w:w="1729"/>
            <w:shd w:val="clear" w:fill="F3F1ED"/>
          </w:tcPr>
          <w:p>
            <w:pPr>
              <w:spacing w:after="10" w:before="10"/>
            </w:pPr>
            <w:r/>
            <w:r>
              <w:rPr>
                <w:b/>
                <w:color w:val="565D6B"/>
                <w:sz w:val="12"/>
              </w:rPr>
              <w:t>Dataset</w:t>
            </w:r>
          </w:p>
        </w:tc>
        <w:tc>
          <w:tcPr>
            <w:tcW w:type="dxa" w:w="1729"/>
            <w:shd w:val="clear" w:fill="F3F1ED"/>
          </w:tcPr>
          <w:p>
            <w:pPr>
              <w:spacing w:after="10" w:before="10"/>
            </w:pPr>
            <w:r/>
            <w:r>
              <w:rPr>
                <w:b/>
                <w:color w:val="565D6B"/>
                <w:sz w:val="12"/>
              </w:rPr>
              <w:t>Their metric</w:t>
            </w:r>
          </w:p>
        </w:tc>
        <w:tc>
          <w:tcPr>
            <w:tcW w:type="dxa" w:w="1276"/>
            <w:shd w:val="clear" w:fill="F3F1ED"/>
          </w:tcPr>
          <w:p>
            <w:pPr>
              <w:spacing w:after="10" w:before="10"/>
            </w:pPr>
            <w:r/>
            <w:r>
              <w:rPr>
                <w:b/>
                <w:color w:val="565D6B"/>
                <w:sz w:val="12"/>
              </w:rPr>
              <w:t>Our matching metric</w:t>
            </w:r>
          </w:p>
        </w:tc>
        <w:tc>
          <w:tcPr>
            <w:tcW w:type="dxa" w:w="1332"/>
            <w:shd w:val="clear" w:fill="F3F1ED"/>
          </w:tcPr>
          <w:p>
            <w:pPr>
              <w:spacing w:after="10" w:before="10"/>
            </w:pPr>
            <w:r/>
            <w:r>
              <w:rPr>
                <w:b/>
                <w:color w:val="565D6B"/>
                <w:sz w:val="12"/>
              </w:rPr>
              <w:t>Goal match</w:t>
            </w:r>
          </w:p>
        </w:tc>
        <w:tc>
          <w:tcPr>
            <w:tcW w:type="dxa" w:w="1276"/>
            <w:shd w:val="clear" w:fill="F3F1ED"/>
          </w:tcPr>
          <w:p>
            <w:pPr>
              <w:spacing w:after="10" w:before="10"/>
            </w:pPr>
            <w:r/>
            <w:r>
              <w:rPr>
                <w:b/>
                <w:color w:val="565D6B"/>
                <w:sz w:val="12"/>
              </w:rPr>
              <w:t>Idea 01</w:t>
            </w:r>
          </w:p>
        </w:tc>
        <w:tc>
          <w:tcPr>
            <w:tcW w:type="dxa" w:w="1106"/>
            <w:shd w:val="clear" w:fill="F3F1ED"/>
          </w:tcPr>
          <w:p>
            <w:pPr>
              <w:spacing w:after="10" w:before="10"/>
            </w:pPr>
            <w:r/>
            <w:r>
              <w:rPr>
                <w:b/>
                <w:color w:val="565D6B"/>
                <w:sz w:val="12"/>
              </w:rPr>
              <w:t>Idea 02</w:t>
            </w:r>
          </w:p>
        </w:tc>
        <w:tc>
          <w:tcPr>
            <w:tcW w:type="dxa" w:w="1502"/>
            <w:shd w:val="clear" w:fill="F3F1ED"/>
          </w:tcPr>
          <w:p>
            <w:pPr>
              <w:spacing w:after="10" w:before="10"/>
            </w:pPr>
            <w:r/>
            <w:r>
              <w:rPr>
                <w:b/>
                <w:color w:val="565D6B"/>
                <w:sz w:val="12"/>
              </w:rPr>
              <w:t>Reproducible: what is missing</w:t>
            </w:r>
          </w:p>
        </w:tc>
      </w:tr>
      <w:tr>
        <w:tc>
          <w:tcPr>
            <w:tcW w:type="dxa" w:w="1502"/>
            <w:gridSpan w:val="12"/>
            <w:shd w:val="clear" w:fill="E8E4DC"/>
          </w:tcPr>
          <w:p>
            <w:pPr>
              <w:spacing w:after="10" w:before="10"/>
            </w:pPr>
            <w:r/>
            <w:r>
              <w:rPr>
                <w:b/>
                <w:color w:val="A4302B"/>
                <w:sz w:val="14"/>
              </w:rPr>
              <w:t>A. FINALISED — clears every precondition. Do this one.</w:t>
            </w:r>
          </w:p>
        </w:tc>
      </w:tr>
      <w:tr>
        <w:tc>
          <w:tcPr>
            <w:tcW w:type="dxa" w:w="1332"/>
          </w:tcPr>
          <w:p>
            <w:pPr>
              <w:spacing w:after="10" w:before="10"/>
            </w:pPr>
            <w:r/>
            <w:r>
              <w:rPr>
                <w:b/>
                <w:color w:val="16181D"/>
                <w:sz w:val="11"/>
              </w:rPr>
              <w:t>Kuwano, Okuma, Okada &amp; Mitsunaga [FULL]</w:t>
            </w:r>
          </w:p>
        </w:tc>
        <w:tc>
          <w:tcPr>
            <w:tcW w:type="dxa" w:w="1276"/>
          </w:tcPr>
          <w:p>
            <w:pPr>
              <w:spacing w:after="10" w:before="10"/>
            </w:pPr>
            <w:r/>
            <w:r>
              <w:rPr>
                <w:b w:val="0"/>
                <w:color w:val="16181D"/>
                <w:sz w:val="11"/>
              </w:rPr>
              <w:t>10.2197/ipsjjip.31.802</w:t>
            </w:r>
          </w:p>
        </w:tc>
        <w:tc>
          <w:tcPr>
            <w:tcW w:type="dxa" w:w="1389"/>
          </w:tcPr>
          <w:p>
            <w:pPr>
              <w:spacing w:after="10" w:before="10"/>
            </w:pPr>
            <w:r/>
            <w:r>
              <w:rPr>
                <w:b w:val="0"/>
                <w:color w:val="16181D"/>
                <w:sz w:val="11"/>
              </w:rPr>
              <w:t>Journal of Information Processing 31, 802–811, 2023</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User-based collaborative filtering; WkNN with Sørensen–Dice similarity, k=60, support-rate threshold 0.17. Algorithm 1 is complete pseudocode. SupportRate is continuous before thresholding, so ranking metrics are available as well as set metrics.</w:t>
            </w:r>
          </w:p>
        </w:tc>
        <w:tc>
          <w:tcPr>
            <w:tcW w:type="dxa" w:w="1729"/>
          </w:tcPr>
          <w:p>
            <w:pPr>
              <w:spacing w:after="10" w:before="10"/>
            </w:pPr>
            <w:r/>
            <w:r>
              <w:rPr>
                <w:b w:val="0"/>
                <w:color w:val="16181D"/>
                <w:sz w:val="11"/>
              </w:rPr>
              <w:t>FULLY PUBLIC. Train = ATT&amp;CK v11 group×technique binary matrix (133 groups, 191 techniques). Test = CISA AA22-277A (26 techniques), AA22-138B (12 used), AA22-174A (13).</w:t>
            </w:r>
          </w:p>
        </w:tc>
        <w:tc>
          <w:tcPr>
            <w:tcW w:type="dxa" w:w="1729"/>
          </w:tcPr>
          <w:p>
            <w:pPr>
              <w:spacing w:after="10" w:before="10"/>
            </w:pPr>
            <w:r/>
            <w:r>
              <w:rPr>
                <w:b w:val="0"/>
                <w:color w:val="16181D"/>
                <w:sz w:val="11"/>
              </w:rPr>
              <w:t>Recall, specificity, accuracy against number of input techniques. Full confusion matrices (TP/FP/TN/FN at every input count) in Tables 5–7.</w:t>
            </w:r>
          </w:p>
        </w:tc>
        <w:tc>
          <w:tcPr>
            <w:tcW w:type="dxa" w:w="1276"/>
          </w:tcPr>
          <w:p>
            <w:pPr>
              <w:spacing w:after="10" w:before="10"/>
            </w:pPr>
            <w:r/>
            <w:r>
              <w:rPr>
                <w:b w:val="0"/>
                <w:color w:val="16181D"/>
                <w:sz w:val="11"/>
              </w:rPr>
              <w:t>Micro-F1 (primary) and exact-set accuracy. Also report their recall/specificity/accuracy for both arms — but note specificity and accuracy are uninformative at ~4 positives in 84 labels.</w:t>
            </w:r>
          </w:p>
        </w:tc>
        <w:tc>
          <w:tcPr>
            <w:tcW w:type="dxa" w:w="1332"/>
          </w:tcPr>
          <w:p>
            <w:pPr>
              <w:spacing w:after="10" w:before="10"/>
            </w:pPr>
            <w:r/>
            <w:r>
              <w:rPr>
                <w:b w:val="0"/>
                <w:color w:val="16181D"/>
                <w:sz w:val="11"/>
              </w:rPr>
              <w:t>STRONG on the prediction half. Multi-hot observed techniques in, technique set out. No deception or RL half.</w:t>
            </w:r>
          </w:p>
        </w:tc>
        <w:tc>
          <w:tcPr>
            <w:tcW w:type="dxa" w:w="1276"/>
          </w:tcPr>
          <w:p>
            <w:pPr>
              <w:spacing w:after="10" w:before="10"/>
            </w:pPr>
            <w:r/>
            <w:r>
              <w:rPr>
                <w:b w:val="0"/>
                <w:color w:val="1F6F4A"/>
                <w:sz w:val="11"/>
              </w:rPr>
              <w:t>PASS — P1 their only input is a technique multi-hot, which is exactly what we hold. P2 191 techniques reduce to our 84 by a fixed mapping. P3 Algorithm 1 plus k=60 and threshold 0.17. P4 deterministic — no seed to match.</w:t>
            </w:r>
          </w:p>
        </w:tc>
        <w:tc>
          <w:tcPr>
            <w:tcW w:type="dxa" w:w="1106"/>
          </w:tcPr>
          <w:p>
            <w:pPr>
              <w:spacing w:after="10" w:before="10"/>
            </w:pPr>
            <w:r/>
            <w:r>
              <w:rPr>
                <w:b w:val="0"/>
                <w:color w:val="1F6F4A"/>
                <w:sz w:val="11"/>
              </w:rPr>
              <w:t>PASS — Q1 ATT&amp;CK data and CISA advisories are public. Q2/Q3 technique-level throughout. Q4 three independent campaigns, used as held-out cases rather than a split.</w:t>
            </w:r>
          </w:p>
        </w:tc>
        <w:tc>
          <w:tcPr>
            <w:tcW w:type="dxa" w:w="1502"/>
          </w:tcPr>
          <w:p>
            <w:pPr>
              <w:spacing w:after="10" w:before="10"/>
            </w:pPr>
            <w:r/>
            <w:r>
              <w:rPr>
                <w:b/>
                <w:color w:val="1F6F4A"/>
                <w:sz w:val="11"/>
              </w:rPr>
              <w:t>NOTHING MISSING. The only paper in the survey reproducible number-for-number: deterministic algorithm, public inputs, exact confusion matrices instead of figures.</w:t>
            </w:r>
          </w:p>
        </w:tc>
      </w:tr>
      <w:tr>
        <w:tc>
          <w:tcPr>
            <w:tcW w:type="dxa" w:w="1502"/>
            <w:gridSpan w:val="12"/>
            <w:shd w:val="clear" w:fill="E8E4DC"/>
          </w:tcPr>
          <w:p>
            <w:pPr>
              <w:spacing w:after="10" w:before="10"/>
            </w:pPr>
            <w:r/>
            <w:r>
              <w:rPr>
                <w:b/>
                <w:color w:val="A4302B"/>
                <w:sz w:val="14"/>
              </w:rPr>
              <w:t>B. FINALISED CONDITIONAL — one precondition left to verify, then go</w:t>
            </w:r>
          </w:p>
        </w:tc>
      </w:tr>
      <w:tr>
        <w:tc>
          <w:tcPr>
            <w:tcW w:type="dxa" w:w="1332"/>
          </w:tcPr>
          <w:p>
            <w:pPr>
              <w:spacing w:after="10" w:before="10"/>
            </w:pPr>
            <w:r/>
            <w:r>
              <w:rPr>
                <w:b/>
                <w:color w:val="16181D"/>
                <w:sz w:val="11"/>
              </w:rPr>
              <w:t>Wang, Lv, Wang et al. — Shell Attack Evolution Dataset [PARTIAL]</w:t>
            </w:r>
          </w:p>
        </w:tc>
        <w:tc>
          <w:tcPr>
            <w:tcW w:type="dxa" w:w="1276"/>
          </w:tcPr>
          <w:p>
            <w:pPr>
              <w:spacing w:after="10" w:before="10"/>
            </w:pPr>
            <w:r/>
            <w:r>
              <w:rPr>
                <w:b w:val="0"/>
                <w:color w:val="16181D"/>
                <w:sz w:val="11"/>
              </w:rPr>
              <w:t>10.1109/srds69199.2025.00032</w:t>
            </w:r>
          </w:p>
        </w:tc>
        <w:tc>
          <w:tcPr>
            <w:tcW w:type="dxa" w:w="1389"/>
          </w:tcPr>
          <w:p>
            <w:pPr>
              <w:spacing w:after="10" w:before="10"/>
            </w:pPr>
            <w:r/>
            <w:r>
              <w:rPr>
                <w:b w:val="0"/>
                <w:color w:val="16181D"/>
                <w:sz w:val="11"/>
              </w:rPr>
              <w:t>IEEE SRDS 2025, pp. 207–217 — conference; cite with HoneyGPT below</w:t>
            </w:r>
          </w:p>
        </w:tc>
        <w:tc>
          <w:tcPr>
            <w:tcW w:type="dxa" w:w="765"/>
          </w:tcPr>
          <w:p>
            <w:pPr>
              <w:spacing w:after="10" w:before="10"/>
            </w:pPr>
            <w:r/>
            <w:r>
              <w:rPr>
                <w:b w:val="0"/>
                <w:color w:val="16181D"/>
                <w:sz w:val="11"/>
              </w:rPr>
              <w:t>n/a</w:t>
            </w:r>
          </w:p>
        </w:tc>
        <w:tc>
          <w:tcPr>
            <w:tcW w:type="dxa" w:w="1786"/>
          </w:tcPr>
          <w:p>
            <w:pPr>
              <w:spacing w:after="10" w:before="10"/>
            </w:pPr>
            <w:r/>
            <w:r>
              <w:rPr>
                <w:b w:val="0"/>
                <w:color w:val="16181D"/>
                <w:sz w:val="11"/>
              </w:rPr>
              <w:t>No learned model — a data-analysis and dataset-release paper.</w:t>
            </w:r>
          </w:p>
        </w:tc>
        <w:tc>
          <w:tcPr>
            <w:tcW w:type="dxa" w:w="1729"/>
          </w:tcPr>
          <w:p>
            <w:pPr>
              <w:spacing w:after="10" w:before="10"/>
            </w:pPr>
            <w:r/>
            <w:r>
              <w:rPr>
                <w:b w:val="0"/>
                <w:color w:val="16181D"/>
                <w:sz w:val="11"/>
              </w:rPr>
              <w:t>PUBLIC, CC BY 4.0 (pipeline MIT). sessions: 5,365 (2021–22) + 6,658 (2024) = 12,023, fields session_id / src_ip / commands (ordered) / command_count / attack_techniques (ordered, consecutive duplicates collapsed). commands: 12,923 + 4,236. request_response: 1,512 + 1,489 with turn_index. Distinct techniques 22 → 27.</w:t>
            </w:r>
          </w:p>
        </w:tc>
        <w:tc>
          <w:tcPr>
            <w:tcW w:type="dxa" w:w="1729"/>
          </w:tcPr>
          <w:p>
            <w:pPr>
              <w:spacing w:after="10" w:before="10"/>
            </w:pPr>
            <w:r/>
            <w:r>
              <w:rPr>
                <w:b w:val="0"/>
                <w:color w:val="16181D"/>
                <w:sz w:val="11"/>
              </w:rPr>
              <w:t>Descriptive: mean session length 12.65 → 5.00 commands; per-period tactic and technique shares.</w:t>
            </w:r>
          </w:p>
        </w:tc>
        <w:tc>
          <w:tcPr>
            <w:tcW w:type="dxa" w:w="1276"/>
          </w:tcPr>
          <w:p>
            <w:pPr>
              <w:spacing w:after="10" w:before="10"/>
            </w:pPr>
            <w:r/>
            <w:r>
              <w:rPr>
                <w:b w:val="0"/>
                <w:color w:val="16181D"/>
                <w:sz w:val="11"/>
              </w:rPr>
              <w:t>Our existing metric set unchanged. Comparable quantity is the H4 CONTRAST (sequence encoder minus OrderFree) within this corpus — never the absolute micro-F1 against CAM-LDS.</w:t>
            </w:r>
          </w:p>
        </w:tc>
        <w:tc>
          <w:tcPr>
            <w:tcW w:type="dxa" w:w="1332"/>
          </w:tcPr>
          <w:p>
            <w:pPr>
              <w:spacing w:after="10" w:before="10"/>
            </w:pPr>
            <w:r/>
            <w:r>
              <w:rPr>
                <w:b w:val="0"/>
                <w:color w:val="16181D"/>
                <w:sz w:val="11"/>
              </w:rPr>
              <w:t>Closest DATA match in the field: ordered real commands plus ordered ATT&amp;CK technique labels, the CAM-LDS structure but from real attackers.</w:t>
            </w:r>
          </w:p>
        </w:tc>
        <w:tc>
          <w:tcPr>
            <w:tcW w:type="dxa" w:w="1276"/>
          </w:tcPr>
          <w:p>
            <w:pPr>
              <w:spacing w:after="10" w:before="10"/>
            </w:pPr>
            <w:r/>
            <w:r>
              <w:rPr>
                <w:b w:val="0"/>
                <w:color w:val="16181D"/>
                <w:sz w:val="11"/>
              </w:rPr>
              <w:t>N/A — no model to feed.</w:t>
            </w:r>
          </w:p>
        </w:tc>
        <w:tc>
          <w:tcPr>
            <w:tcW w:type="dxa" w:w="1106"/>
          </w:tcPr>
          <w:p>
            <w:pPr>
              <w:spacing w:after="10" w:before="10"/>
            </w:pPr>
            <w:r/>
            <w:r>
              <w:rPr>
                <w:b w:val="0"/>
                <w:color w:val="8A5A00"/>
                <w:sz w:val="11"/>
              </w:rPr>
              <w:t>CONDITIONAL — Q1 pass (CC BY 4.0), Q2 pass (ordered commands, turn_index), Q4 pass (12,023 sessions). Q3 IS THE OPEN ITEM: labels attach to sessions, not commands. Passes only if their released MIT pipeline re-derives per-command labels deterministically. VERIFY BEFORE COMMITTING.</w:t>
            </w:r>
          </w:p>
        </w:tc>
        <w:tc>
          <w:tcPr>
            <w:tcW w:type="dxa" w:w="1502"/>
          </w:tcPr>
          <w:p>
            <w:pPr>
              <w:spacing w:after="10" w:before="10"/>
            </w:pPr>
            <w:r/>
            <w:r>
              <w:rPr>
                <w:b/>
                <w:color w:val="1F6F4A"/>
                <w:sz w:val="11"/>
              </w:rPr>
              <w:t>NOTHING MISSING — data CC BY 4.0, pipeline MIT. The dataset is the asset; the venue is a conference, so cite the HoneyGPT journal paper alongside it.</w:t>
            </w:r>
          </w:p>
        </w:tc>
      </w:tr>
      <w:tr>
        <w:tc>
          <w:tcPr>
            <w:tcW w:type="dxa" w:w="1332"/>
          </w:tcPr>
          <w:p>
            <w:pPr>
              <w:spacing w:after="10" w:before="10"/>
            </w:pPr>
            <w:r/>
            <w:r>
              <w:rPr>
                <w:b/>
                <w:color w:val="16181D"/>
                <w:sz w:val="11"/>
              </w:rPr>
              <w:t>HoneyGPT — Wang, You, Wang et al. [PARTIAL]</w:t>
            </w:r>
          </w:p>
        </w:tc>
        <w:tc>
          <w:tcPr>
            <w:tcW w:type="dxa" w:w="1276"/>
          </w:tcPr>
          <w:p>
            <w:pPr>
              <w:spacing w:after="10" w:before="10"/>
            </w:pPr>
            <w:r/>
            <w:r>
              <w:rPr>
                <w:b w:val="0"/>
                <w:color w:val="16181D"/>
                <w:sz w:val="11"/>
              </w:rPr>
              <w:t>10.1016/j.comnet.2026.112223</w:t>
            </w:r>
          </w:p>
        </w:tc>
        <w:tc>
          <w:tcPr>
            <w:tcW w:type="dxa" w:w="1389"/>
          </w:tcPr>
          <w:p>
            <w:pPr>
              <w:spacing w:after="10" w:before="10"/>
            </w:pPr>
            <w:r/>
            <w:r>
              <w:rPr>
                <w:b w:val="0"/>
                <w:color w:val="16181D"/>
                <w:sz w:val="11"/>
              </w:rPr>
              <w:t>Computer Networks 282, 112223, 2026</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LLM-driven SSH/Telnet honeypot on Cowrie with structured prompting. Not a trainable sequence model.</w:t>
            </w:r>
          </w:p>
        </w:tc>
        <w:tc>
          <w:tcPr>
            <w:tcW w:type="dxa" w:w="1729"/>
          </w:tcPr>
          <w:p>
            <w:pPr>
              <w:spacing w:after="10" w:before="10"/>
            </w:pPr>
            <w:r/>
            <w:r>
              <w:rPr>
                <w:b w:val="0"/>
                <w:color w:val="16181D"/>
                <w:sz w:val="11"/>
              </w:rPr>
              <w:t>Uses the corpus above — the 1,489-turn request_response/curated split.</w:t>
            </w:r>
          </w:p>
        </w:tc>
        <w:tc>
          <w:tcPr>
            <w:tcW w:type="dxa" w:w="1729"/>
          </w:tcPr>
          <w:p>
            <w:pPr>
              <w:spacing w:after="10" w:before="10"/>
            </w:pPr>
            <w:r/>
            <w:r>
              <w:rPr>
                <w:b w:val="0"/>
                <w:color w:val="16181D"/>
                <w:sz w:val="11"/>
              </w:rPr>
              <w:t>Deception metrics: successful response rate, session length, native capability test. Result CSVs released.</w:t>
            </w:r>
          </w:p>
        </w:tc>
        <w:tc>
          <w:tcPr>
            <w:tcW w:type="dxa" w:w="1276"/>
          </w:tcPr>
          <w:p>
            <w:pPr>
              <w:spacing w:after="10" w:before="10"/>
            </w:pPr>
            <w:r/>
            <w:r>
              <w:rPr>
                <w:b w:val="0"/>
                <w:color w:val="16181D"/>
                <w:sz w:val="11"/>
              </w:rPr>
              <w:t>None of ours directly — their session length is not our dwell (no placement decision exists).</w:t>
            </w:r>
          </w:p>
        </w:tc>
        <w:tc>
          <w:tcPr>
            <w:tcW w:type="dxa" w:w="1332"/>
          </w:tcPr>
          <w:p>
            <w:pPr>
              <w:spacing w:after="10" w:before="10"/>
            </w:pPr>
            <w:r/>
            <w:r>
              <w:rPr>
                <w:b w:val="0"/>
                <w:color w:val="16181D"/>
                <w:sz w:val="11"/>
              </w:rPr>
              <w:t>WEAK on method, STRONG on data provenance. Included as the journal citation for the corpus.</w:t>
            </w:r>
          </w:p>
        </w:tc>
        <w:tc>
          <w:tcPr>
            <w:tcW w:type="dxa" w:w="1276"/>
          </w:tcPr>
          <w:p>
            <w:pPr>
              <w:spacing w:after="10" w:before="10"/>
            </w:pPr>
            <w:r/>
            <w:r>
              <w:rPr>
                <w:b w:val="0"/>
                <w:color w:val="A4302B"/>
                <w:sz w:val="11"/>
              </w:rPr>
              <w:t>FAIL P1 — the system emits responses and never reads a technique history, so there is no input slot for CAM-LDS.</w:t>
            </w:r>
          </w:p>
        </w:tc>
        <w:tc>
          <w:tcPr>
            <w:tcW w:type="dxa" w:w="1106"/>
          </w:tcPr>
          <w:p>
            <w:pPr>
              <w:spacing w:after="10" w:before="10"/>
            </w:pPr>
            <w:r/>
            <w:r>
              <w:rPr>
                <w:b w:val="0"/>
                <w:color w:val="16181D"/>
                <w:sz w:val="11"/>
              </w:rPr>
              <w:t>N/A as a paper — its contribution here is the companion corpus in the row above.</w:t>
            </w:r>
          </w:p>
        </w:tc>
        <w:tc>
          <w:tcPr>
            <w:tcW w:type="dxa" w:w="1502"/>
          </w:tcPr>
          <w:p>
            <w:pPr>
              <w:spacing w:after="10" w:before="10"/>
            </w:pPr>
            <w:r/>
            <w:r>
              <w:rPr>
                <w:b/>
                <w:color w:val="1F6F4A"/>
                <w:sz w:val="11"/>
              </w:rPr>
              <w:t>NOTHING MISSING — code released BSD-3-Clause, data CC BY 4.0. CORRECTS our earlier matrix, which recorded no code; that entry was right when written and is now out of date.</w:t>
            </w:r>
          </w:p>
        </w:tc>
      </w:tr>
      <w:tr>
        <w:tc>
          <w:tcPr>
            <w:tcW w:type="dxa" w:w="1502"/>
            <w:gridSpan w:val="12"/>
            <w:shd w:val="clear" w:fill="E8E4DC"/>
          </w:tcPr>
          <w:p>
            <w:pPr>
              <w:spacing w:after="10" w:before="10"/>
            </w:pPr>
            <w:r/>
            <w:r>
              <w:rPr>
                <w:b/>
                <w:color w:val="A4302B"/>
                <w:sz w:val="14"/>
              </w:rPr>
              <w:t>C. ARM IMPORT — borrow the architecture; this is NOT a comparison with the paper</w:t>
            </w:r>
          </w:p>
        </w:tc>
      </w:tr>
      <w:tr>
        <w:tc>
          <w:tcPr>
            <w:tcW w:type="dxa" w:w="1332"/>
          </w:tcPr>
          <w:p>
            <w:pPr>
              <w:spacing w:after="10" w:before="10"/>
            </w:pPr>
            <w:r/>
            <w:r>
              <w:rPr>
                <w:b/>
                <w:color w:val="16181D"/>
                <w:sz w:val="11"/>
              </w:rPr>
              <w:t>Sadique &amp; Sengupta [METADATA]</w:t>
            </w:r>
          </w:p>
        </w:tc>
        <w:tc>
          <w:tcPr>
            <w:tcW w:type="dxa" w:w="1276"/>
          </w:tcPr>
          <w:p>
            <w:pPr>
              <w:spacing w:after="10" w:before="10"/>
            </w:pPr>
            <w:r/>
            <w:r>
              <w:rPr>
                <w:b w:val="0"/>
                <w:color w:val="16181D"/>
                <w:sz w:val="11"/>
              </w:rPr>
              <w:t>10.1016/j.cose.2022.102714</w:t>
            </w:r>
          </w:p>
        </w:tc>
        <w:tc>
          <w:tcPr>
            <w:tcW w:type="dxa" w:w="1389"/>
          </w:tcPr>
          <w:p>
            <w:pPr>
              <w:spacing w:after="10" w:before="10"/>
            </w:pPr>
            <w:r/>
            <w:r>
              <w:rPr>
                <w:b w:val="0"/>
                <w:color w:val="16181D"/>
                <w:sz w:val="11"/>
              </w:rPr>
              <w:t>Computers &amp; Security 117, 102714, 2022</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Temporal Convolution Network (TCN) modelling attacker behaviour in an IoT botnet. Model family confirmed from the Crossref title; internals not read.</w:t>
            </w:r>
          </w:p>
        </w:tc>
        <w:tc>
          <w:tcPr>
            <w:tcW w:type="dxa" w:w="1729"/>
          </w:tcPr>
          <w:p>
            <w:pPr>
              <w:spacing w:after="10" w:before="10"/>
            </w:pPr>
            <w:r/>
            <w:r>
              <w:rPr>
                <w:b w:val="0"/>
                <w:color w:val="16181D"/>
                <w:sz w:val="11"/>
              </w:rPr>
              <w:t>IoT botnet attacker behaviour. Not verified as released.</w:t>
            </w:r>
          </w:p>
        </w:tc>
        <w:tc>
          <w:tcPr>
            <w:tcW w:type="dxa" w:w="1729"/>
          </w:tcPr>
          <w:p>
            <w:pPr>
              <w:spacing w:after="10" w:before="10"/>
            </w:pPr>
            <w:r/>
            <w:r>
              <w:rPr>
                <w:b w:val="0"/>
                <w:color w:val="16181D"/>
                <w:sz w:val="11"/>
              </w:rPr>
              <w:t>Not verified.</w:t>
            </w:r>
          </w:p>
        </w:tc>
        <w:tc>
          <w:tcPr>
            <w:tcW w:type="dxa" w:w="1276"/>
          </w:tcPr>
          <w:p>
            <w:pPr>
              <w:spacing w:after="10" w:before="10"/>
            </w:pPr>
            <w:r/>
            <w:r>
              <w:rPr>
                <w:b w:val="0"/>
                <w:color w:val="16181D"/>
                <w:sz w:val="11"/>
              </w:rPr>
              <w:t>Our own metric set, as a fourth encoder arm beside Transformer / GRU / LSTM.</w:t>
            </w:r>
          </w:p>
        </w:tc>
        <w:tc>
          <w:tcPr>
            <w:tcW w:type="dxa" w:w="1332"/>
          </w:tcPr>
          <w:p>
            <w:pPr>
              <w:spacing w:after="10" w:before="10"/>
            </w:pPr>
            <w:r/>
            <w:r>
              <w:rPr>
                <w:b w:val="0"/>
                <w:color w:val="16181D"/>
                <w:sz w:val="11"/>
              </w:rPr>
              <w:t>NOT a task match. The value is architectural: does a dilated causal convolution break our architecture-equivalence result, which has now replicated four times?</w:t>
            </w:r>
          </w:p>
        </w:tc>
        <w:tc>
          <w:tcPr>
            <w:tcW w:type="dxa" w:w="1276"/>
          </w:tcPr>
          <w:p>
            <w:pPr>
              <w:spacing w:after="10" w:before="10"/>
            </w:pPr>
            <w:r/>
            <w:r>
              <w:rPr>
                <w:b w:val="0"/>
                <w:color w:val="A4302B"/>
                <w:sz w:val="11"/>
              </w:rPr>
              <w:t>FAIL P1 — their inputs are botnet traffic features, not techniques. Therefore NOT an Idea 01 comparator. Add a TCN arm to OUR bench instead and cite them for the architecture.</w:t>
            </w:r>
          </w:p>
        </w:tc>
        <w:tc>
          <w:tcPr>
            <w:tcW w:type="dxa" w:w="1106"/>
          </w:tcPr>
          <w:p>
            <w:pPr>
              <w:spacing w:after="10" w:before="10"/>
            </w:pPr>
            <w:r/>
            <w:r>
              <w:rPr>
                <w:b w:val="0"/>
                <w:color w:val="A4302B"/>
                <w:sz w:val="11"/>
              </w:rPr>
              <w:t>FAIL Q1 — not verified as released.</w:t>
            </w:r>
          </w:p>
        </w:tc>
        <w:tc>
          <w:tcPr>
            <w:tcW w:type="dxa" w:w="1502"/>
          </w:tcPr>
          <w:p>
            <w:pPr>
              <w:spacing w:after="10" w:before="10"/>
            </w:pPr>
            <w:r/>
            <w:r>
              <w:rPr>
                <w:b/>
                <w:color w:val="16181D"/>
                <w:sz w:val="11"/>
              </w:rPr>
              <w:t>CODE + DATASET (neither verified). NOTE: earlier dismissed as arXiv-only — the peer-reviewed version exists and the title is corrected here.</w:t>
            </w:r>
          </w:p>
        </w:tc>
      </w:tr>
      <w:tr>
        <w:tc>
          <w:tcPr>
            <w:tcW w:type="dxa" w:w="1502"/>
            <w:gridSpan w:val="12"/>
            <w:shd w:val="clear" w:fill="E8E4DC"/>
          </w:tcPr>
          <w:p>
            <w:pPr>
              <w:spacing w:after="10" w:before="10"/>
            </w:pPr>
            <w:r/>
            <w:r>
              <w:rPr>
                <w:b/>
                <w:color w:val="A4302B"/>
                <w:sz w:val="14"/>
              </w:rPr>
              <w:t>D. BLOCKED — publisher returns 403 to automated access; P1/P3 cannot be scored without the PDF</w:t>
            </w:r>
          </w:p>
        </w:tc>
      </w:tr>
      <w:tr>
        <w:tc>
          <w:tcPr>
            <w:tcW w:type="dxa" w:w="1332"/>
          </w:tcPr>
          <w:p>
            <w:pPr>
              <w:spacing w:after="10" w:before="10"/>
            </w:pPr>
            <w:r/>
            <w:r>
              <w:rPr>
                <w:b/>
                <w:color w:val="16181D"/>
                <w:sz w:val="11"/>
              </w:rPr>
              <w:t>DeepOP — Zhang, Xue &amp; Su [PARTIAL]</w:t>
            </w:r>
          </w:p>
        </w:tc>
        <w:tc>
          <w:tcPr>
            <w:tcW w:type="dxa" w:w="1276"/>
          </w:tcPr>
          <w:p>
            <w:pPr>
              <w:spacing w:after="10" w:before="10"/>
            </w:pPr>
            <w:r/>
            <w:r>
              <w:rPr>
                <w:b w:val="0"/>
                <w:color w:val="16181D"/>
                <w:sz w:val="11"/>
              </w:rPr>
              <w:t>10.3390/electronics14020257</w:t>
            </w:r>
          </w:p>
        </w:tc>
        <w:tc>
          <w:tcPr>
            <w:tcW w:type="dxa" w:w="1389"/>
          </w:tcPr>
          <w:p>
            <w:pPr>
              <w:spacing w:after="10" w:before="10"/>
            </w:pPr>
            <w:r/>
            <w:r>
              <w:rPr>
                <w:b w:val="0"/>
                <w:color w:val="16181D"/>
                <w:sz w:val="11"/>
              </w:rPr>
              <w:t>Electronics 14, 257, 2025</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Transformer with a causal window self-attention mechanism, plus ontological reasoning over CTI. Multi-step APT prediction for IIoT.</w:t>
            </w:r>
          </w:p>
        </w:tc>
        <w:tc>
          <w:tcPr>
            <w:tcW w:type="dxa" w:w="1729"/>
          </w:tcPr>
          <w:p>
            <w:pPr>
              <w:spacing w:after="10" w:before="10"/>
            </w:pPr>
            <w:r/>
            <w:r>
              <w:rPr>
                <w:b w:val="0"/>
                <w:color w:val="16181D"/>
                <w:sz w:val="11"/>
              </w:rPr>
              <w:t>Attack sequences extracted from CTI reports by ontological reasoning. Release status NOT KNOWN.</w:t>
            </w:r>
          </w:p>
        </w:tc>
        <w:tc>
          <w:tcPr>
            <w:tcW w:type="dxa" w:w="1729"/>
          </w:tcPr>
          <w:p>
            <w:pPr>
              <w:spacing w:after="10" w:before="10"/>
            </w:pPr>
            <w:r/>
            <w:r>
              <w:rPr>
                <w:b w:val="0"/>
                <w:color w:val="16181D"/>
                <w:sz w:val="11"/>
              </w:rPr>
              <w:t>Technique-level sequence prediction. A Transformer baseline is reported at accuracy 0.857 / F1 0.861; DeepOP's own figures not verified.</w:t>
            </w:r>
          </w:p>
        </w:tc>
        <w:tc>
          <w:tcPr>
            <w:tcW w:type="dxa" w:w="1276"/>
          </w:tcPr>
          <w:p>
            <w:pPr>
              <w:spacing w:after="10" w:before="10"/>
            </w:pPr>
            <w:r/>
            <w:r>
              <w:rPr>
                <w:b w:val="0"/>
                <w:color w:val="16181D"/>
                <w:sz w:val="11"/>
              </w:rPr>
              <w:t>Micro-F1, if their output is multi-label rather than top-1 — unconfirmed.</w:t>
            </w:r>
          </w:p>
        </w:tc>
        <w:tc>
          <w:tcPr>
            <w:tcW w:type="dxa" w:w="1332"/>
          </w:tcPr>
          <w:p>
            <w:pPr>
              <w:spacing w:after="10" w:before="10"/>
            </w:pPr>
            <w:r/>
            <w:r>
              <w:rPr>
                <w:b w:val="0"/>
                <w:color w:val="16181D"/>
                <w:sz w:val="11"/>
              </w:rPr>
              <w:t>MODERATE on structure — technique-level sequence prediction, but IIoT framing.</w:t>
            </w:r>
          </w:p>
        </w:tc>
        <w:tc>
          <w:tcPr>
            <w:tcW w:type="dxa" w:w="1276"/>
          </w:tcPr>
          <w:p>
            <w:pPr>
              <w:spacing w:after="10" w:before="10"/>
            </w:pPr>
            <w:r/>
            <w:r>
              <w:rPr>
                <w:b w:val="0"/>
                <w:color w:val="16181D"/>
                <w:sz w:val="11"/>
              </w:rPr>
              <w:t>UNSCORED — P1 likely fails because the ontology branch needs IIoT asset and vulnerability facts CAM-LDS lacks, but I could not read the paper to confirm. PULL THE PDF.</w:t>
            </w:r>
          </w:p>
        </w:tc>
        <w:tc>
          <w:tcPr>
            <w:tcW w:type="dxa" w:w="1106"/>
          </w:tcPr>
          <w:p>
            <w:pPr>
              <w:spacing w:after="10" w:before="10"/>
            </w:pPr>
            <w:r/>
            <w:r>
              <w:rPr>
                <w:b w:val="0"/>
                <w:color w:val="16181D"/>
                <w:sz w:val="11"/>
              </w:rPr>
              <w:t>UNSCORED — Q1 unknown; the Data Availability statement was not readable. Author contact drafted (zhangsq@zut.edu.cn).</w:t>
            </w:r>
          </w:p>
        </w:tc>
        <w:tc>
          <w:tcPr>
            <w:tcW w:type="dxa" w:w="1502"/>
          </w:tcPr>
          <w:p>
            <w:pPr>
              <w:spacing w:after="10" w:before="10"/>
            </w:pPr>
            <w:r/>
            <w:r>
              <w:rPr>
                <w:b/>
                <w:color w:val="16181D"/>
                <w:sz w:val="11"/>
              </w:rPr>
              <w:t>UNKNOWN — MDPI blocks automated access. Needs a manual PDF read before it can enter or leave the finalised list.</w:t>
            </w:r>
          </w:p>
        </w:tc>
      </w:tr>
      <w:tr>
        <w:tc>
          <w:tcPr>
            <w:tcW w:type="dxa" w:w="1332"/>
          </w:tcPr>
          <w:p>
            <w:pPr>
              <w:spacing w:after="10" w:before="10"/>
            </w:pPr>
            <w:r/>
            <w:r>
              <w:rPr>
                <w:b/>
                <w:color w:val="16181D"/>
                <w:sz w:val="11"/>
              </w:rPr>
              <w:t>Lanka, Gupta &amp; Varol [METADATA]</w:t>
            </w:r>
          </w:p>
        </w:tc>
        <w:tc>
          <w:tcPr>
            <w:tcW w:type="dxa" w:w="1276"/>
          </w:tcPr>
          <w:p>
            <w:pPr>
              <w:spacing w:after="10" w:before="10"/>
            </w:pPr>
            <w:r/>
            <w:r>
              <w:rPr>
                <w:b w:val="0"/>
                <w:color w:val="16181D"/>
                <w:sz w:val="11"/>
              </w:rPr>
              <w:t>10.3390/electronics13132465</w:t>
            </w:r>
          </w:p>
        </w:tc>
        <w:tc>
          <w:tcPr>
            <w:tcW w:type="dxa" w:w="1389"/>
          </w:tcPr>
          <w:p>
            <w:pPr>
              <w:spacing w:after="10" w:before="10"/>
            </w:pPr>
            <w:r/>
            <w:r>
              <w:rPr>
                <w:b w:val="0"/>
                <w:color w:val="16181D"/>
                <w:sz w:val="11"/>
              </w:rPr>
              <w:t>Electronics 13, 2465, 2024</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LLM analysing honeypot attacker data to learn TTPs, then flagging real-time anomalies in normal user activity. Specific LLM NOT stated in the abstract.</w:t>
            </w:r>
          </w:p>
        </w:tc>
        <w:tc>
          <w:tcPr>
            <w:tcW w:type="dxa" w:w="1729"/>
          </w:tcPr>
          <w:p>
            <w:pPr>
              <w:spacing w:after="10" w:before="10"/>
            </w:pPr>
            <w:r/>
            <w:r>
              <w:rPr>
                <w:b w:val="0"/>
                <w:color w:val="16181D"/>
                <w:sz w:val="11"/>
              </w:rPr>
              <w:t>Own honeypot capture. Size, period and release status NOT verified. A search snippet suggested 47,764 command instances over 165 unique commands — NOT verified, do not cite.</w:t>
            </w:r>
          </w:p>
        </w:tc>
        <w:tc>
          <w:tcPr>
            <w:tcW w:type="dxa" w:w="1729"/>
          </w:tcPr>
          <w:p>
            <w:pPr>
              <w:spacing w:after="10" w:before="10"/>
            </w:pPr>
            <w:r/>
            <w:r>
              <w:rPr>
                <w:b w:val="0"/>
                <w:color w:val="16181D"/>
                <w:sz w:val="11"/>
              </w:rPr>
              <w:t>Reduction in time-to-detect. No numeric values verified.</w:t>
            </w:r>
          </w:p>
        </w:tc>
        <w:tc>
          <w:tcPr>
            <w:tcW w:type="dxa" w:w="1276"/>
          </w:tcPr>
          <w:p>
            <w:pPr>
              <w:spacing w:after="10" w:before="10"/>
            </w:pPr>
            <w:r/>
            <w:r>
              <w:rPr>
                <w:b w:val="0"/>
                <w:color w:val="16181D"/>
                <w:sz w:val="11"/>
              </w:rPr>
              <w:t>None confirmed — their task is anomaly detection, not technique prediction.</w:t>
            </w:r>
          </w:p>
        </w:tc>
        <w:tc>
          <w:tcPr>
            <w:tcW w:type="dxa" w:w="1332"/>
          </w:tcPr>
          <w:p>
            <w:pPr>
              <w:spacing w:after="10" w:before="10"/>
            </w:pPr>
            <w:r/>
            <w:r>
              <w:rPr>
                <w:b w:val="0"/>
                <w:color w:val="16181D"/>
                <w:sz w:val="11"/>
              </w:rPr>
              <w:t>UNCLEAR — honeypot commands plus ATT&amp;CK TTPs is the right family, but the abstract gives no model, no dataset and no label granularity.</w:t>
            </w:r>
          </w:p>
        </w:tc>
        <w:tc>
          <w:tcPr>
            <w:tcW w:type="dxa" w:w="1276"/>
          </w:tcPr>
          <w:p>
            <w:pPr>
              <w:spacing w:after="10" w:before="10"/>
            </w:pPr>
            <w:r/>
            <w:r>
              <w:rPr>
                <w:b w:val="0"/>
                <w:color w:val="16181D"/>
                <w:sz w:val="11"/>
              </w:rPr>
              <w:t>UNSCORED — P3 cannot be met from the abstract alone. PULL THE PDF.</w:t>
            </w:r>
          </w:p>
        </w:tc>
        <w:tc>
          <w:tcPr>
            <w:tcW w:type="dxa" w:w="1106"/>
          </w:tcPr>
          <w:p>
            <w:pPr>
              <w:spacing w:after="10" w:before="10"/>
            </w:pPr>
            <w:r/>
            <w:r>
              <w:rPr>
                <w:b w:val="0"/>
                <w:color w:val="16181D"/>
                <w:sz w:val="11"/>
              </w:rPr>
              <w:t>UNSCORED — Q1 and Q3 unknown.</w:t>
            </w:r>
          </w:p>
        </w:tc>
        <w:tc>
          <w:tcPr>
            <w:tcW w:type="dxa" w:w="1502"/>
          </w:tcPr>
          <w:p>
            <w:pPr>
              <w:spacing w:after="10" w:before="10"/>
            </w:pPr>
            <w:r/>
            <w:r>
              <w:rPr>
                <w:b/>
                <w:color w:val="16181D"/>
                <w:sz w:val="11"/>
              </w:rPr>
              <w:t>UNKNOWN — MDPI 403. The most interesting of the blocked three, because it is the only journal paper found that pairs honeypot COMMANDS with ATT&amp;CK labels.</w:t>
            </w:r>
          </w:p>
        </w:tc>
      </w:tr>
      <w:tr>
        <w:tc>
          <w:tcPr>
            <w:tcW w:type="dxa" w:w="1332"/>
          </w:tcPr>
          <w:p>
            <w:pPr>
              <w:spacing w:after="10" w:before="10"/>
            </w:pPr>
            <w:r/>
            <w:r>
              <w:rPr>
                <w:b/>
                <w:color w:val="16181D"/>
                <w:sz w:val="11"/>
              </w:rPr>
              <w:t>Erceylan, Abraham &amp; Akbarzadeh [METADATA]</w:t>
            </w:r>
          </w:p>
        </w:tc>
        <w:tc>
          <w:tcPr>
            <w:tcW w:type="dxa" w:w="1276"/>
          </w:tcPr>
          <w:p>
            <w:pPr>
              <w:spacing w:after="10" w:before="10"/>
            </w:pPr>
            <w:r/>
            <w:r>
              <w:rPr>
                <w:b w:val="0"/>
                <w:color w:val="16181D"/>
                <w:sz w:val="11"/>
              </w:rPr>
              <w:t>10.3390/jcp6030081</w:t>
            </w:r>
          </w:p>
        </w:tc>
        <w:tc>
          <w:tcPr>
            <w:tcW w:type="dxa" w:w="1389"/>
          </w:tcPr>
          <w:p>
            <w:pPr>
              <w:spacing w:after="10" w:before="10"/>
            </w:pPr>
            <w:r/>
            <w:r>
              <w:rPr>
                <w:b w:val="0"/>
                <w:color w:val="16181D"/>
                <w:sz w:val="11"/>
              </w:rPr>
              <w:t>Journal of Cybersecurity and Privacy 6, 81, 2026</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Digital-twin-assisted threat modelling to predict APT attack flows in ICS. Not read.</w:t>
            </w:r>
          </w:p>
        </w:tc>
        <w:tc>
          <w:tcPr>
            <w:tcW w:type="dxa" w:w="1729"/>
          </w:tcPr>
          <w:p>
            <w:pPr>
              <w:spacing w:after="10" w:before="10"/>
            </w:pPr>
            <w:r/>
            <w:r>
              <w:rPr>
                <w:b w:val="0"/>
                <w:color w:val="16181D"/>
                <w:sz w:val="11"/>
              </w:rPr>
              <w:t>Not verified.</w:t>
            </w:r>
          </w:p>
        </w:tc>
        <w:tc>
          <w:tcPr>
            <w:tcW w:type="dxa" w:w="1729"/>
          </w:tcPr>
          <w:p>
            <w:pPr>
              <w:spacing w:after="10" w:before="10"/>
            </w:pPr>
            <w:r/>
            <w:r>
              <w:rPr>
                <w:b w:val="0"/>
                <w:color w:val="16181D"/>
                <w:sz w:val="11"/>
              </w:rPr>
              <w:t>Not verified.</w:t>
            </w:r>
          </w:p>
        </w:tc>
        <w:tc>
          <w:tcPr>
            <w:tcW w:type="dxa" w:w="1276"/>
          </w:tcPr>
          <w:p>
            <w:pPr>
              <w:spacing w:after="10" w:before="10"/>
            </w:pPr>
            <w:r/>
            <w:r>
              <w:rPr>
                <w:b w:val="0"/>
                <w:color w:val="16181D"/>
                <w:sz w:val="11"/>
              </w:rPr>
              <w:t>Unknown — ‘attack flow’ may or may not be a technique sequence.</w:t>
            </w:r>
          </w:p>
        </w:tc>
        <w:tc>
          <w:tcPr>
            <w:tcW w:type="dxa" w:w="1332"/>
          </w:tcPr>
          <w:p>
            <w:pPr>
              <w:spacing w:after="10" w:before="10"/>
            </w:pPr>
            <w:r/>
            <w:r>
              <w:rPr>
                <w:b w:val="0"/>
                <w:color w:val="16181D"/>
                <w:sz w:val="11"/>
              </w:rPr>
              <w:t>UNKNOWN — the phrase ‘attack flows’ is promising but unverified.</w:t>
            </w:r>
          </w:p>
        </w:tc>
        <w:tc>
          <w:tcPr>
            <w:tcW w:type="dxa" w:w="1276"/>
          </w:tcPr>
          <w:p>
            <w:pPr>
              <w:spacing w:after="10" w:before="10"/>
            </w:pPr>
            <w:r/>
            <w:r>
              <w:rPr>
                <w:b w:val="0"/>
                <w:color w:val="16181D"/>
                <w:sz w:val="11"/>
              </w:rPr>
              <w:t>UNSCORED — PULL THE PDF.</w:t>
            </w:r>
          </w:p>
        </w:tc>
        <w:tc>
          <w:tcPr>
            <w:tcW w:type="dxa" w:w="1106"/>
          </w:tcPr>
          <w:p>
            <w:pPr>
              <w:spacing w:after="10" w:before="10"/>
            </w:pPr>
            <w:r/>
            <w:r>
              <w:rPr>
                <w:b w:val="0"/>
                <w:color w:val="16181D"/>
                <w:sz w:val="11"/>
              </w:rPr>
              <w:t>UNSCORED.</w:t>
            </w:r>
          </w:p>
        </w:tc>
        <w:tc>
          <w:tcPr>
            <w:tcW w:type="dxa" w:w="1502"/>
          </w:tcPr>
          <w:p>
            <w:pPr>
              <w:spacing w:after="10" w:before="10"/>
            </w:pPr>
            <w:r/>
            <w:r>
              <w:rPr>
                <w:b/>
                <w:color w:val="16181D"/>
                <w:sz w:val="11"/>
              </w:rPr>
              <w:t>UNKNOWN — MDPI 403.</w:t>
            </w:r>
          </w:p>
        </w:tc>
      </w:tr>
      <w:tr>
        <w:tc>
          <w:tcPr>
            <w:tcW w:type="dxa" w:w="1332"/>
          </w:tcPr>
          <w:p>
            <w:pPr>
              <w:spacing w:after="10" w:before="10"/>
            </w:pPr>
            <w:r/>
            <w:r>
              <w:rPr>
                <w:b/>
                <w:color w:val="16181D"/>
                <w:sz w:val="11"/>
              </w:rPr>
              <w:t>Lim &amp; Hobert [METADATA]</w:t>
            </w:r>
          </w:p>
        </w:tc>
        <w:tc>
          <w:tcPr>
            <w:tcW w:type="dxa" w:w="1276"/>
          </w:tcPr>
          <w:p>
            <w:pPr>
              <w:spacing w:after="10" w:before="10"/>
            </w:pPr>
            <w:r/>
            <w:r>
              <w:rPr>
                <w:b w:val="0"/>
                <w:color w:val="16181D"/>
                <w:sz w:val="11"/>
              </w:rPr>
              <w:t>10.1145/3820169</w:t>
            </w:r>
          </w:p>
        </w:tc>
        <w:tc>
          <w:tcPr>
            <w:tcW w:type="dxa" w:w="1389"/>
          </w:tcPr>
          <w:p>
            <w:pPr>
              <w:spacing w:after="10" w:before="10"/>
            </w:pPr>
            <w:r/>
            <w:r>
              <w:rPr>
                <w:b w:val="0"/>
                <w:color w:val="16181D"/>
                <w:sz w:val="11"/>
              </w:rPr>
              <w:t>Digital Threats: Research and Practice, 2026</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Hierarchical clustering for honeypot-based cyber attribution. Not read.</w:t>
            </w:r>
          </w:p>
        </w:tc>
        <w:tc>
          <w:tcPr>
            <w:tcW w:type="dxa" w:w="1729"/>
          </w:tcPr>
          <w:p>
            <w:pPr>
              <w:spacing w:after="10" w:before="10"/>
            </w:pPr>
            <w:r/>
            <w:r>
              <w:rPr>
                <w:b w:val="0"/>
                <w:color w:val="16181D"/>
                <w:sz w:val="11"/>
              </w:rPr>
              <w:t>Honeypot data. Granularity and release status not verified.</w:t>
            </w:r>
          </w:p>
        </w:tc>
        <w:tc>
          <w:tcPr>
            <w:tcW w:type="dxa" w:w="1729"/>
          </w:tcPr>
          <w:p>
            <w:pPr>
              <w:spacing w:after="10" w:before="10"/>
            </w:pPr>
            <w:r/>
            <w:r>
              <w:rPr>
                <w:b w:val="0"/>
                <w:color w:val="16181D"/>
                <w:sz w:val="11"/>
              </w:rPr>
              <w:t>Not verified.</w:t>
            </w:r>
          </w:p>
        </w:tc>
        <w:tc>
          <w:tcPr>
            <w:tcW w:type="dxa" w:w="1276"/>
          </w:tcPr>
          <w:p>
            <w:pPr>
              <w:spacing w:after="10" w:before="10"/>
            </w:pPr>
            <w:r/>
            <w:r>
              <w:rPr>
                <w:b w:val="0"/>
                <w:color w:val="16181D"/>
                <w:sz w:val="11"/>
              </w:rPr>
              <w:t>None — attribution is a different task from technique prediction.</w:t>
            </w:r>
          </w:p>
        </w:tc>
        <w:tc>
          <w:tcPr>
            <w:tcW w:type="dxa" w:w="1332"/>
          </w:tcPr>
          <w:p>
            <w:pPr>
              <w:spacing w:after="10" w:before="10"/>
            </w:pPr>
            <w:r/>
            <w:r>
              <w:rPr>
                <w:b w:val="0"/>
                <w:color w:val="16181D"/>
                <w:sz w:val="11"/>
              </w:rPr>
              <w:t>WEAK — attribution, not prediction. Listed because it is recent honeypot-sequence work.</w:t>
            </w:r>
          </w:p>
        </w:tc>
        <w:tc>
          <w:tcPr>
            <w:tcW w:type="dxa" w:w="1276"/>
          </w:tcPr>
          <w:p>
            <w:pPr>
              <w:spacing w:after="10" w:before="10"/>
            </w:pPr>
            <w:r/>
            <w:r>
              <w:rPr>
                <w:b w:val="0"/>
                <w:color w:val="16181D"/>
                <w:sz w:val="11"/>
              </w:rPr>
              <w:t>UNSCORED — ACM DL 403. Likely fails P2 (output is an actor, not a technique set).</w:t>
            </w:r>
          </w:p>
        </w:tc>
        <w:tc>
          <w:tcPr>
            <w:tcW w:type="dxa" w:w="1106"/>
          </w:tcPr>
          <w:p>
            <w:pPr>
              <w:spacing w:after="10" w:before="10"/>
            </w:pPr>
            <w:r/>
            <w:r>
              <w:rPr>
                <w:b w:val="0"/>
                <w:color w:val="16181D"/>
                <w:sz w:val="11"/>
              </w:rPr>
              <w:t>UNSCORED — Q1 unknown.</w:t>
            </w:r>
          </w:p>
        </w:tc>
        <w:tc>
          <w:tcPr>
            <w:tcW w:type="dxa" w:w="1502"/>
          </w:tcPr>
          <w:p>
            <w:pPr>
              <w:spacing w:after="10" w:before="10"/>
            </w:pPr>
            <w:r/>
            <w:r>
              <w:rPr>
                <w:b/>
                <w:color w:val="16181D"/>
                <w:sz w:val="11"/>
              </w:rPr>
              <w:t>UNKNOWN — ACM DL 403.</w:t>
            </w:r>
          </w:p>
        </w:tc>
      </w:tr>
      <w:tr>
        <w:tc>
          <w:tcPr>
            <w:tcW w:type="dxa" w:w="1502"/>
            <w:gridSpan w:val="12"/>
            <w:shd w:val="clear" w:fill="E8E4DC"/>
          </w:tcPr>
          <w:p>
            <w:pPr>
              <w:spacing w:after="10" w:before="10"/>
            </w:pPr>
            <w:r/>
            <w:r>
              <w:rPr>
                <w:b/>
                <w:color w:val="A4302B"/>
                <w:sz w:val="14"/>
              </w:rPr>
              <w:t>E. CLOSED — fails a named precondition. Recorded so the search is not repeated.</w:t>
            </w:r>
          </w:p>
        </w:tc>
      </w:tr>
      <w:tr>
        <w:tc>
          <w:tcPr>
            <w:tcW w:type="dxa" w:w="1332"/>
          </w:tcPr>
          <w:p>
            <w:pPr>
              <w:spacing w:after="10" w:before="10"/>
            </w:pPr>
            <w:r/>
            <w:r>
              <w:rPr>
                <w:b/>
                <w:color w:val="16181D"/>
                <w:sz w:val="11"/>
              </w:rPr>
              <w:t>BAN — Kim, Lee &amp; Kwon [METADATA]</w:t>
            </w:r>
          </w:p>
        </w:tc>
        <w:tc>
          <w:tcPr>
            <w:tcW w:type="dxa" w:w="1276"/>
          </w:tcPr>
          <w:p>
            <w:pPr>
              <w:spacing w:after="10" w:before="10"/>
            </w:pPr>
            <w:r/>
            <w:r>
              <w:rPr>
                <w:b w:val="0"/>
                <w:color w:val="16181D"/>
                <w:sz w:val="11"/>
              </w:rPr>
              <w:t>10.1109/access.2023.3306593</w:t>
            </w:r>
          </w:p>
        </w:tc>
        <w:tc>
          <w:tcPr>
            <w:tcW w:type="dxa" w:w="1389"/>
          </w:tcPr>
          <w:p>
            <w:pPr>
              <w:spacing w:after="10" w:before="10"/>
            </w:pPr>
            <w:r/>
            <w:r>
              <w:rPr>
                <w:b w:val="0"/>
                <w:color w:val="16181D"/>
                <w:sz w:val="11"/>
              </w:rPr>
              <w:t>IEEE Access 11, 91949–91968, 2023</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Bayesian network over ATT&amp;CK predicting upcoming techniques. Structure and parameterisation not published in a form I could verify.</w:t>
            </w:r>
          </w:p>
        </w:tc>
        <w:tc>
          <w:tcPr>
            <w:tcW w:type="dxa" w:w="1729"/>
          </w:tcPr>
          <w:p>
            <w:pPr>
              <w:spacing w:after="10" w:before="10"/>
            </w:pPr>
            <w:r/>
            <w:r>
              <w:rPr>
                <w:b w:val="0"/>
                <w:color w:val="16181D"/>
                <w:sz w:val="11"/>
              </w:rPr>
              <w:t>Not verified. Both automatic and manual labelling used to offset limited APT prediction data.</w:t>
            </w:r>
          </w:p>
        </w:tc>
        <w:tc>
          <w:tcPr>
            <w:tcW w:type="dxa" w:w="1729"/>
          </w:tcPr>
          <w:p>
            <w:pPr>
              <w:spacing w:after="10" w:before="10"/>
            </w:pPr>
            <w:r/>
            <w:r>
              <w:rPr>
                <w:b w:val="0"/>
                <w:color w:val="16181D"/>
                <w:sz w:val="11"/>
              </w:rPr>
              <w:t>Not verified.</w:t>
            </w:r>
          </w:p>
        </w:tc>
        <w:tc>
          <w:tcPr>
            <w:tcW w:type="dxa" w:w="1276"/>
          </w:tcPr>
          <w:p>
            <w:pPr>
              <w:spacing w:after="10" w:before="10"/>
            </w:pPr>
            <w:r/>
            <w:r>
              <w:rPr>
                <w:b w:val="0"/>
                <w:color w:val="16181D"/>
                <w:sz w:val="11"/>
              </w:rPr>
              <w:t>Micro-F1 would apply if the output is a technique set.</w:t>
            </w:r>
          </w:p>
        </w:tc>
        <w:tc>
          <w:tcPr>
            <w:tcW w:type="dxa" w:w="1332"/>
          </w:tcPr>
          <w:p>
            <w:pPr>
              <w:spacing w:after="10" w:before="10"/>
            </w:pPr>
            <w:r/>
            <w:r>
              <w:rPr>
                <w:b w:val="0"/>
                <w:color w:val="16181D"/>
                <w:sz w:val="11"/>
              </w:rPr>
              <w:t>MODERATE on structure — observed techniques in, upcoming techniques out, the same shape as ours.</w:t>
            </w:r>
          </w:p>
        </w:tc>
        <w:tc>
          <w:tcPr>
            <w:tcW w:type="dxa" w:w="1276"/>
          </w:tcPr>
          <w:p>
            <w:pPr>
              <w:spacing w:after="10" w:before="10"/>
            </w:pPr>
            <w:r/>
            <w:r>
              <w:rPr>
                <w:b w:val="0"/>
                <w:color w:val="A4302B"/>
                <w:sz w:val="11"/>
              </w:rPr>
              <w:t>FAIL P3 — the network structure is not specified well enough to reimplement, and refitting it on our corpus would make it our model, not theirs. The closest near-miss in the table; revisit if the full text turns out to publish the structure.</w:t>
            </w:r>
          </w:p>
        </w:tc>
        <w:tc>
          <w:tcPr>
            <w:tcW w:type="dxa" w:w="1106"/>
          </w:tcPr>
          <w:p>
            <w:pPr>
              <w:spacing w:after="10" w:before="10"/>
            </w:pPr>
            <w:r/>
            <w:r>
              <w:rPr>
                <w:b w:val="0"/>
                <w:color w:val="A4302B"/>
                <w:sz w:val="11"/>
              </w:rPr>
              <w:t>FAIL Q1 — corpus not released.</w:t>
            </w:r>
          </w:p>
        </w:tc>
        <w:tc>
          <w:tcPr>
            <w:tcW w:type="dxa" w:w="1502"/>
          </w:tcPr>
          <w:p>
            <w:pPr>
              <w:spacing w:after="10" w:before="10"/>
            </w:pPr>
            <w:r/>
            <w:r>
              <w:rPr>
                <w:b/>
                <w:color w:val="16181D"/>
                <w:sz w:val="11"/>
              </w:rPr>
              <w:t>CODE + DATASET (neither verified).</w:t>
            </w:r>
          </w:p>
        </w:tc>
      </w:tr>
      <w:tr>
        <w:tc>
          <w:tcPr>
            <w:tcW w:type="dxa" w:w="1332"/>
          </w:tcPr>
          <w:p>
            <w:pPr>
              <w:spacing w:after="10" w:before="10"/>
            </w:pPr>
            <w:r/>
            <w:r>
              <w:rPr>
                <w:b/>
                <w:color w:val="16181D"/>
                <w:sz w:val="11"/>
              </w:rPr>
              <w:t>DeepAG — Li, Jiang &amp; Lin [METADATA]</w:t>
            </w:r>
          </w:p>
        </w:tc>
        <w:tc>
          <w:tcPr>
            <w:tcW w:type="dxa" w:w="1276"/>
          </w:tcPr>
          <w:p>
            <w:pPr>
              <w:spacing w:after="10" w:before="10"/>
            </w:pPr>
            <w:r/>
            <w:r>
              <w:rPr>
                <w:b w:val="0"/>
                <w:color w:val="16181D"/>
                <w:sz w:val="11"/>
              </w:rPr>
              <w:t>10.1109/tdsc.2022.3143551</w:t>
            </w:r>
          </w:p>
        </w:tc>
        <w:tc>
          <w:tcPr>
            <w:tcW w:type="dxa" w:w="1389"/>
          </w:tcPr>
          <w:p>
            <w:pPr>
              <w:spacing w:after="10" w:before="10"/>
            </w:pPr>
            <w:r/>
            <w:r>
              <w:rPr>
                <w:b w:val="0"/>
                <w:color w:val="16181D"/>
                <w:sz w:val="11"/>
              </w:rPr>
              <w:t>IEEE Trans. Dependable and Secure Computing 20, 740–757, 2023</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Bi-directional deep learning for attack-graph construction and threat prediction. Not read.</w:t>
            </w:r>
          </w:p>
        </w:tc>
        <w:tc>
          <w:tcPr>
            <w:tcW w:type="dxa" w:w="1729"/>
          </w:tcPr>
          <w:p>
            <w:pPr>
              <w:spacing w:after="10" w:before="10"/>
            </w:pPr>
            <w:r/>
            <w:r>
              <w:rPr>
                <w:b w:val="0"/>
                <w:color w:val="16181D"/>
                <w:sz w:val="11"/>
              </w:rPr>
              <w:t>Not verified.</w:t>
            </w:r>
          </w:p>
        </w:tc>
        <w:tc>
          <w:tcPr>
            <w:tcW w:type="dxa" w:w="1729"/>
          </w:tcPr>
          <w:p>
            <w:pPr>
              <w:spacing w:after="10" w:before="10"/>
            </w:pPr>
            <w:r/>
            <w:r>
              <w:rPr>
                <w:b w:val="0"/>
                <w:color w:val="16181D"/>
                <w:sz w:val="11"/>
              </w:rPr>
              <w:t>Not verified.</w:t>
            </w:r>
          </w:p>
        </w:tc>
        <w:tc>
          <w:tcPr>
            <w:tcW w:type="dxa" w:w="1276"/>
          </w:tcPr>
          <w:p>
            <w:pPr>
              <w:spacing w:after="10" w:before="10"/>
            </w:pPr>
            <w:r/>
            <w:r>
              <w:rPr>
                <w:b w:val="0"/>
                <w:color w:val="16181D"/>
                <w:sz w:val="11"/>
              </w:rPr>
              <w:t>None usable.</w:t>
            </w:r>
          </w:p>
        </w:tc>
        <w:tc>
          <w:tcPr>
            <w:tcW w:type="dxa" w:w="1332"/>
          </w:tcPr>
          <w:p>
            <w:pPr>
              <w:spacing w:after="10" w:before="10"/>
            </w:pPr>
            <w:r/>
            <w:r>
              <w:rPr>
                <w:b w:val="0"/>
                <w:color w:val="16181D"/>
                <w:sz w:val="11"/>
              </w:rPr>
              <w:t>MODERATE — sequence prediction, but over system-log tokens, not commands.</w:t>
            </w:r>
          </w:p>
        </w:tc>
        <w:tc>
          <w:tcPr>
            <w:tcW w:type="dxa" w:w="1276"/>
          </w:tcPr>
          <w:p>
            <w:pPr>
              <w:spacing w:after="10" w:before="10"/>
            </w:pPr>
            <w:r/>
            <w:r>
              <w:rPr>
                <w:b w:val="0"/>
                <w:color w:val="A4302B"/>
                <w:sz w:val="11"/>
              </w:rPr>
              <w:t>FAIL P1 — no log-token vocabulary is published, so the command-to-token mapping would be ours to invent. The comparison would then measure our mapping.</w:t>
            </w:r>
          </w:p>
        </w:tc>
        <w:tc>
          <w:tcPr>
            <w:tcW w:type="dxa" w:w="1106"/>
          </w:tcPr>
          <w:p>
            <w:pPr>
              <w:spacing w:after="10" w:before="10"/>
            </w:pPr>
            <w:r/>
            <w:r>
              <w:rPr>
                <w:b w:val="0"/>
                <w:color w:val="A4302B"/>
                <w:sz w:val="11"/>
              </w:rPr>
              <w:t>FAIL Q1 — not released.</w:t>
            </w:r>
          </w:p>
        </w:tc>
        <w:tc>
          <w:tcPr>
            <w:tcW w:type="dxa" w:w="1502"/>
          </w:tcPr>
          <w:p>
            <w:pPr>
              <w:spacing w:after="10" w:before="10"/>
            </w:pPr>
            <w:r/>
            <w:r>
              <w:rPr>
                <w:b/>
                <w:color w:val="16181D"/>
                <w:sz w:val="11"/>
              </w:rPr>
              <w:t>CODE + DATASET (neither verified).</w:t>
            </w:r>
          </w:p>
        </w:tc>
      </w:tr>
      <w:tr>
        <w:tc>
          <w:tcPr>
            <w:tcW w:type="dxa" w:w="1332"/>
          </w:tcPr>
          <w:p>
            <w:pPr>
              <w:spacing w:after="10" w:before="10"/>
            </w:pPr>
            <w:r/>
            <w:r>
              <w:rPr>
                <w:b/>
                <w:color w:val="16181D"/>
                <w:sz w:val="11"/>
              </w:rPr>
              <w:t>Wang, Yi &amp; Jiang [METADATA]</w:t>
            </w:r>
          </w:p>
        </w:tc>
        <w:tc>
          <w:tcPr>
            <w:tcW w:type="dxa" w:w="1276"/>
          </w:tcPr>
          <w:p>
            <w:pPr>
              <w:spacing w:after="10" w:before="10"/>
            </w:pPr>
            <w:r/>
            <w:r>
              <w:rPr>
                <w:b w:val="0"/>
                <w:color w:val="16181D"/>
                <w:sz w:val="11"/>
              </w:rPr>
              <w:t>10.1016/j.cose.2023.103533</w:t>
            </w:r>
          </w:p>
        </w:tc>
        <w:tc>
          <w:tcPr>
            <w:tcW w:type="dxa" w:w="1389"/>
          </w:tcPr>
          <w:p>
            <w:pPr>
              <w:spacing w:after="10" w:before="10"/>
            </w:pPr>
            <w:r/>
            <w:r>
              <w:rPr>
                <w:b w:val="0"/>
                <w:color w:val="16181D"/>
                <w:sz w:val="11"/>
              </w:rPr>
              <w:t>Computers &amp; Security 136, 103533, 2024</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Transformer for alert aggregation and multi-stage attack prediction.</w:t>
            </w:r>
          </w:p>
        </w:tc>
        <w:tc>
          <w:tcPr>
            <w:tcW w:type="dxa" w:w="1729"/>
          </w:tcPr>
          <w:p>
            <w:pPr>
              <w:spacing w:after="10" w:before="10"/>
            </w:pPr>
            <w:r/>
            <w:r>
              <w:rPr>
                <w:b w:val="0"/>
                <w:color w:val="16181D"/>
                <w:sz w:val="11"/>
              </w:rPr>
              <w:t>IDS alert streams. Not verified.</w:t>
            </w:r>
          </w:p>
        </w:tc>
        <w:tc>
          <w:tcPr>
            <w:tcW w:type="dxa" w:w="1729"/>
          </w:tcPr>
          <w:p>
            <w:pPr>
              <w:spacing w:after="10" w:before="10"/>
            </w:pPr>
            <w:r/>
            <w:r>
              <w:rPr>
                <w:b w:val="0"/>
                <w:color w:val="16181D"/>
                <w:sz w:val="11"/>
              </w:rPr>
              <w:t>Not verified.</w:t>
            </w:r>
          </w:p>
        </w:tc>
        <w:tc>
          <w:tcPr>
            <w:tcW w:type="dxa" w:w="1276"/>
          </w:tcPr>
          <w:p>
            <w:pPr>
              <w:spacing w:after="10" w:before="10"/>
            </w:pPr>
            <w:r/>
            <w:r>
              <w:rPr>
                <w:b w:val="0"/>
                <w:color w:val="16181D"/>
                <w:sz w:val="11"/>
              </w:rPr>
              <w:t>None — attack stages are not ATT&amp;CK techniques.</w:t>
            </w:r>
          </w:p>
        </w:tc>
        <w:tc>
          <w:tcPr>
            <w:tcW w:type="dxa" w:w="1332"/>
          </w:tcPr>
          <w:p>
            <w:pPr>
              <w:spacing w:after="10" w:before="10"/>
            </w:pPr>
            <w:r/>
            <w:r>
              <w:rPr>
                <w:b w:val="0"/>
                <w:color w:val="16181D"/>
                <w:sz w:val="11"/>
              </w:rPr>
              <w:t>NO — the atomic unit is an IDS alert, not an attacker command.</w:t>
            </w:r>
          </w:p>
        </w:tc>
        <w:tc>
          <w:tcPr>
            <w:tcW w:type="dxa" w:w="1276"/>
          </w:tcPr>
          <w:p>
            <w:pPr>
              <w:spacing w:after="10" w:before="10"/>
            </w:pPr>
            <w:r/>
            <w:r>
              <w:rPr>
                <w:b w:val="0"/>
                <w:color w:val="A4302B"/>
                <w:sz w:val="11"/>
              </w:rPr>
              <w:t>FAIL P1 — CAM-LDS has no signature id, severity or src/dst fields, and synthesising them would fabricate the signal the model reads.</w:t>
            </w:r>
          </w:p>
        </w:tc>
        <w:tc>
          <w:tcPr>
            <w:tcW w:type="dxa" w:w="1106"/>
          </w:tcPr>
          <w:p>
            <w:pPr>
              <w:spacing w:after="10" w:before="10"/>
            </w:pPr>
            <w:r/>
            <w:r>
              <w:rPr>
                <w:b w:val="0"/>
                <w:color w:val="A4302B"/>
                <w:sz w:val="11"/>
              </w:rPr>
              <w:t>FAIL Q1 — not released.</w:t>
            </w:r>
          </w:p>
        </w:tc>
        <w:tc>
          <w:tcPr>
            <w:tcW w:type="dxa" w:w="1502"/>
          </w:tcPr>
          <w:p>
            <w:pPr>
              <w:spacing w:after="10" w:before="10"/>
            </w:pPr>
            <w:r/>
            <w:r>
              <w:rPr>
                <w:b/>
                <w:color w:val="16181D"/>
                <w:sz w:val="11"/>
              </w:rPr>
              <w:t>CODE + DATASET.</w:t>
            </w:r>
          </w:p>
        </w:tc>
      </w:tr>
      <w:tr>
        <w:tc>
          <w:tcPr>
            <w:tcW w:type="dxa" w:w="1332"/>
          </w:tcPr>
          <w:p>
            <w:pPr>
              <w:spacing w:after="10" w:before="10"/>
            </w:pPr>
            <w:r/>
            <w:r>
              <w:rPr>
                <w:b/>
                <w:color w:val="16181D"/>
                <w:sz w:val="11"/>
              </w:rPr>
              <w:t>ASTR — Ma, Hou &amp; Sui [METADATA]</w:t>
            </w:r>
          </w:p>
        </w:tc>
        <w:tc>
          <w:tcPr>
            <w:tcW w:type="dxa" w:w="1276"/>
          </w:tcPr>
          <w:p>
            <w:pPr>
              <w:spacing w:after="10" w:before="10"/>
            </w:pPr>
            <w:r/>
            <w:r>
              <w:rPr>
                <w:b w:val="0"/>
                <w:color w:val="16181D"/>
                <w:sz w:val="11"/>
              </w:rPr>
              <w:t>10.1016/j.neucom.2025.130016</w:t>
            </w:r>
          </w:p>
        </w:tc>
        <w:tc>
          <w:tcPr>
            <w:tcW w:type="dxa" w:w="1389"/>
          </w:tcPr>
          <w:p>
            <w:pPr>
              <w:spacing w:after="10" w:before="10"/>
            </w:pPr>
            <w:r/>
            <w:r>
              <w:rPr>
                <w:b w:val="0"/>
                <w:color w:val="16181D"/>
                <w:sz w:val="11"/>
              </w:rPr>
              <w:t>Neurocomputing 635, 130016, 2025</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Transformer alert-to-stage translator for multi-stage attack detection.</w:t>
            </w:r>
          </w:p>
        </w:tc>
        <w:tc>
          <w:tcPr>
            <w:tcW w:type="dxa" w:w="1729"/>
          </w:tcPr>
          <w:p>
            <w:pPr>
              <w:spacing w:after="10" w:before="10"/>
            </w:pPr>
            <w:r/>
            <w:r>
              <w:rPr>
                <w:b w:val="0"/>
                <w:color w:val="16181D"/>
                <w:sz w:val="11"/>
              </w:rPr>
              <w:t>Alert datasets. Not verified.</w:t>
            </w:r>
          </w:p>
        </w:tc>
        <w:tc>
          <w:tcPr>
            <w:tcW w:type="dxa" w:w="1729"/>
          </w:tcPr>
          <w:p>
            <w:pPr>
              <w:spacing w:after="10" w:before="10"/>
            </w:pPr>
            <w:r/>
            <w:r>
              <w:rPr>
                <w:b w:val="0"/>
                <w:color w:val="16181D"/>
                <w:sz w:val="11"/>
              </w:rPr>
              <w:t>Not verified.</w:t>
            </w:r>
          </w:p>
        </w:tc>
        <w:tc>
          <w:tcPr>
            <w:tcW w:type="dxa" w:w="1276"/>
          </w:tcPr>
          <w:p>
            <w:pPr>
              <w:spacing w:after="10" w:before="10"/>
            </w:pPr>
            <w:r/>
            <w:r>
              <w:rPr>
                <w:b w:val="0"/>
                <w:color w:val="16181D"/>
                <w:sz w:val="11"/>
              </w:rPr>
              <w:t>None.</w:t>
            </w:r>
          </w:p>
        </w:tc>
        <w:tc>
          <w:tcPr>
            <w:tcW w:type="dxa" w:w="1332"/>
          </w:tcPr>
          <w:p>
            <w:pPr>
              <w:spacing w:after="10" w:before="10"/>
            </w:pPr>
            <w:r/>
            <w:r>
              <w:rPr>
                <w:b w:val="0"/>
                <w:color w:val="16181D"/>
                <w:sz w:val="11"/>
              </w:rPr>
              <w:t>NO — same alert-granularity mismatch.</w:t>
            </w:r>
          </w:p>
        </w:tc>
        <w:tc>
          <w:tcPr>
            <w:tcW w:type="dxa" w:w="1276"/>
          </w:tcPr>
          <w:p>
            <w:pPr>
              <w:spacing w:after="10" w:before="10"/>
            </w:pPr>
            <w:r/>
            <w:r>
              <w:rPr>
                <w:b w:val="0"/>
                <w:color w:val="A4302B"/>
                <w:sz w:val="11"/>
              </w:rPr>
              <w:t>FAIL P1 — same reason as the row above.</w:t>
            </w:r>
          </w:p>
        </w:tc>
        <w:tc>
          <w:tcPr>
            <w:tcW w:type="dxa" w:w="1106"/>
          </w:tcPr>
          <w:p>
            <w:pPr>
              <w:spacing w:after="10" w:before="10"/>
            </w:pPr>
            <w:r/>
            <w:r>
              <w:rPr>
                <w:b w:val="0"/>
                <w:color w:val="A4302B"/>
                <w:sz w:val="11"/>
              </w:rPr>
              <w:t>FAIL Q1.</w:t>
            </w:r>
          </w:p>
        </w:tc>
        <w:tc>
          <w:tcPr>
            <w:tcW w:type="dxa" w:w="1502"/>
          </w:tcPr>
          <w:p>
            <w:pPr>
              <w:spacing w:after="10" w:before="10"/>
            </w:pPr>
            <w:r/>
            <w:r>
              <w:rPr>
                <w:b/>
                <w:color w:val="16181D"/>
                <w:sz w:val="11"/>
              </w:rPr>
              <w:t>CODE + DATASET.</w:t>
            </w:r>
          </w:p>
        </w:tc>
      </w:tr>
      <w:tr>
        <w:tc>
          <w:tcPr>
            <w:tcW w:type="dxa" w:w="1332"/>
          </w:tcPr>
          <w:p>
            <w:pPr>
              <w:spacing w:after="10" w:before="10"/>
            </w:pPr>
            <w:r/>
            <w:r>
              <w:rPr>
                <w:b/>
                <w:color w:val="16181D"/>
                <w:sz w:val="11"/>
              </w:rPr>
              <w:t>Li, Huang &amp; Chen [METADATA] NEW</w:t>
            </w:r>
          </w:p>
        </w:tc>
        <w:tc>
          <w:tcPr>
            <w:tcW w:type="dxa" w:w="1276"/>
          </w:tcPr>
          <w:p>
            <w:pPr>
              <w:spacing w:after="10" w:before="10"/>
            </w:pPr>
            <w:r/>
            <w:r>
              <w:rPr>
                <w:b w:val="0"/>
                <w:color w:val="16181D"/>
                <w:sz w:val="11"/>
              </w:rPr>
              <w:t>10.1016/j.cose.2024.103815</w:t>
            </w:r>
          </w:p>
        </w:tc>
        <w:tc>
          <w:tcPr>
            <w:tcW w:type="dxa" w:w="1389"/>
          </w:tcPr>
          <w:p>
            <w:pPr>
              <w:spacing w:after="10" w:before="10"/>
            </w:pPr>
            <w:r/>
            <w:r>
              <w:rPr>
                <w:b w:val="0"/>
                <w:color w:val="16181D"/>
                <w:sz w:val="11"/>
              </w:rPr>
              <w:t>Computers &amp; Security 140, 103815, 2024</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Automated discovery and mapping of ATT&amp;CK tactics and techniques from unstructured CTI text.</w:t>
            </w:r>
          </w:p>
        </w:tc>
        <w:tc>
          <w:tcPr>
            <w:tcW w:type="dxa" w:w="1729"/>
          </w:tcPr>
          <w:p>
            <w:pPr>
              <w:spacing w:after="10" w:before="10"/>
            </w:pPr>
            <w:r/>
            <w:r>
              <w:rPr>
                <w:b w:val="0"/>
                <w:color w:val="16181D"/>
                <w:sz w:val="11"/>
              </w:rPr>
              <w:t>Unstructured CTI reports. Not verified as released.</w:t>
            </w:r>
          </w:p>
        </w:tc>
        <w:tc>
          <w:tcPr>
            <w:tcW w:type="dxa" w:w="1729"/>
          </w:tcPr>
          <w:p>
            <w:pPr>
              <w:spacing w:after="10" w:before="10"/>
            </w:pPr>
            <w:r/>
            <w:r>
              <w:rPr>
                <w:b w:val="0"/>
                <w:color w:val="16181D"/>
                <w:sz w:val="11"/>
              </w:rPr>
              <w:t>Not verified — extraction metrics.</w:t>
            </w:r>
          </w:p>
        </w:tc>
        <w:tc>
          <w:tcPr>
            <w:tcW w:type="dxa" w:w="1276"/>
          </w:tcPr>
          <w:p>
            <w:pPr>
              <w:spacing w:after="10" w:before="10"/>
            </w:pPr>
            <w:r/>
            <w:r>
              <w:rPr>
                <w:b w:val="0"/>
                <w:color w:val="16181D"/>
                <w:sz w:val="11"/>
              </w:rPr>
              <w:t>None — extraction from prose is not prediction from history.</w:t>
            </w:r>
          </w:p>
        </w:tc>
        <w:tc>
          <w:tcPr>
            <w:tcW w:type="dxa" w:w="1332"/>
          </w:tcPr>
          <w:p>
            <w:pPr>
              <w:spacing w:after="10" w:before="10"/>
            </w:pPr>
            <w:r/>
            <w:r>
              <w:rPr>
                <w:b w:val="0"/>
                <w:color w:val="16181D"/>
                <w:sz w:val="11"/>
              </w:rPr>
              <w:t>NO — the task is text-to-technique labelling, not next-technique prediction.</w:t>
            </w:r>
          </w:p>
        </w:tc>
        <w:tc>
          <w:tcPr>
            <w:tcW w:type="dxa" w:w="1276"/>
          </w:tcPr>
          <w:p>
            <w:pPr>
              <w:spacing w:after="10" w:before="10"/>
            </w:pPr>
            <w:r/>
            <w:r>
              <w:rPr>
                <w:b w:val="0"/>
                <w:color w:val="A4302B"/>
                <w:sz w:val="11"/>
              </w:rPr>
              <w:t>FAIL P1 — their input is natural-language CTI prose. CAM-LDS is commands; rendering commands into report prose would be writing the input ourselves.</w:t>
            </w:r>
          </w:p>
        </w:tc>
        <w:tc>
          <w:tcPr>
            <w:tcW w:type="dxa" w:w="1106"/>
          </w:tcPr>
          <w:p>
            <w:pPr>
              <w:spacing w:after="10" w:before="10"/>
            </w:pPr>
            <w:r/>
            <w:r>
              <w:rPr>
                <w:b w:val="0"/>
                <w:color w:val="A4302B"/>
                <w:sz w:val="11"/>
              </w:rPr>
              <w:t>FAIL Q1 — not verified as released.</w:t>
            </w:r>
          </w:p>
        </w:tc>
        <w:tc>
          <w:tcPr>
            <w:tcW w:type="dxa" w:w="1502"/>
          </w:tcPr>
          <w:p>
            <w:pPr>
              <w:spacing w:after="10" w:before="10"/>
            </w:pPr>
            <w:r/>
            <w:r>
              <w:rPr>
                <w:b/>
                <w:color w:val="16181D"/>
                <w:sz w:val="11"/>
              </w:rPr>
              <w:t>CODE + DATASET.</w:t>
            </w:r>
          </w:p>
        </w:tc>
      </w:tr>
      <w:tr>
        <w:tc>
          <w:tcPr>
            <w:tcW w:type="dxa" w:w="1332"/>
          </w:tcPr>
          <w:p>
            <w:pPr>
              <w:spacing w:after="10" w:before="10"/>
            </w:pPr>
            <w:r/>
            <w:r>
              <w:rPr>
                <w:b/>
                <w:color w:val="16181D"/>
                <w:sz w:val="11"/>
              </w:rPr>
              <w:t>Zhang, Li &amp; Li [METADATA] NEW</w:t>
            </w:r>
          </w:p>
        </w:tc>
        <w:tc>
          <w:tcPr>
            <w:tcW w:type="dxa" w:w="1276"/>
          </w:tcPr>
          <w:p>
            <w:pPr>
              <w:spacing w:after="10" w:before="10"/>
            </w:pPr>
            <w:r/>
            <w:r>
              <w:rPr>
                <w:b w:val="0"/>
                <w:color w:val="16181D"/>
                <w:sz w:val="11"/>
              </w:rPr>
              <w:t>10.1109/access.2026.3653548</w:t>
            </w:r>
          </w:p>
        </w:tc>
        <w:tc>
          <w:tcPr>
            <w:tcW w:type="dxa" w:w="1389"/>
          </w:tcPr>
          <w:p>
            <w:pPr>
              <w:spacing w:after="10" w:before="10"/>
            </w:pPr>
            <w:r/>
            <w:r>
              <w:rPr>
                <w:b w:val="0"/>
                <w:color w:val="16181D"/>
                <w:sz w:val="11"/>
              </w:rPr>
              <w:t>IEEE Access 14, 5984–5992, 2026</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Discovery and mapping of ATT&amp;CK tactics and techniques from cyber threat intelligence.</w:t>
            </w:r>
          </w:p>
        </w:tc>
        <w:tc>
          <w:tcPr>
            <w:tcW w:type="dxa" w:w="1729"/>
          </w:tcPr>
          <w:p>
            <w:pPr>
              <w:spacing w:after="10" w:before="10"/>
            </w:pPr>
            <w:r/>
            <w:r>
              <w:rPr>
                <w:b w:val="0"/>
                <w:color w:val="16181D"/>
                <w:sz w:val="11"/>
              </w:rPr>
              <w:t>CTI text. Not verified.</w:t>
            </w:r>
          </w:p>
        </w:tc>
        <w:tc>
          <w:tcPr>
            <w:tcW w:type="dxa" w:w="1729"/>
          </w:tcPr>
          <w:p>
            <w:pPr>
              <w:spacing w:after="10" w:before="10"/>
            </w:pPr>
            <w:r/>
            <w:r>
              <w:rPr>
                <w:b w:val="0"/>
                <w:color w:val="16181D"/>
                <w:sz w:val="11"/>
              </w:rPr>
              <w:t>Not verified.</w:t>
            </w:r>
          </w:p>
        </w:tc>
        <w:tc>
          <w:tcPr>
            <w:tcW w:type="dxa" w:w="1276"/>
          </w:tcPr>
          <w:p>
            <w:pPr>
              <w:spacing w:after="10" w:before="10"/>
            </w:pPr>
            <w:r/>
            <w:r>
              <w:rPr>
                <w:b w:val="0"/>
                <w:color w:val="16181D"/>
                <w:sz w:val="11"/>
              </w:rPr>
              <w:t>None.</w:t>
            </w:r>
          </w:p>
        </w:tc>
        <w:tc>
          <w:tcPr>
            <w:tcW w:type="dxa" w:w="1332"/>
          </w:tcPr>
          <w:p>
            <w:pPr>
              <w:spacing w:after="10" w:before="10"/>
            </w:pPr>
            <w:r/>
            <w:r>
              <w:rPr>
                <w:b w:val="0"/>
                <w:color w:val="16181D"/>
                <w:sz w:val="11"/>
              </w:rPr>
              <w:t>NO — same text-extraction task as the row above.</w:t>
            </w:r>
          </w:p>
        </w:tc>
        <w:tc>
          <w:tcPr>
            <w:tcW w:type="dxa" w:w="1276"/>
          </w:tcPr>
          <w:p>
            <w:pPr>
              <w:spacing w:after="10" w:before="10"/>
            </w:pPr>
            <w:r/>
            <w:r>
              <w:rPr>
                <w:b w:val="0"/>
                <w:color w:val="A4302B"/>
                <w:sz w:val="11"/>
              </w:rPr>
              <w:t>FAIL P1 — natural-language input.</w:t>
            </w:r>
          </w:p>
        </w:tc>
        <w:tc>
          <w:tcPr>
            <w:tcW w:type="dxa" w:w="1106"/>
          </w:tcPr>
          <w:p>
            <w:pPr>
              <w:spacing w:after="10" w:before="10"/>
            </w:pPr>
            <w:r/>
            <w:r>
              <w:rPr>
                <w:b w:val="0"/>
                <w:color w:val="A4302B"/>
                <w:sz w:val="11"/>
              </w:rPr>
              <w:t>FAIL Q1.</w:t>
            </w:r>
          </w:p>
        </w:tc>
        <w:tc>
          <w:tcPr>
            <w:tcW w:type="dxa" w:w="1502"/>
          </w:tcPr>
          <w:p>
            <w:pPr>
              <w:spacing w:after="10" w:before="10"/>
            </w:pPr>
            <w:r/>
            <w:r>
              <w:rPr>
                <w:b/>
                <w:color w:val="16181D"/>
                <w:sz w:val="11"/>
              </w:rPr>
              <w:t>CODE + DATASET.</w:t>
            </w:r>
          </w:p>
        </w:tc>
      </w:tr>
      <w:tr>
        <w:tc>
          <w:tcPr>
            <w:tcW w:type="dxa" w:w="1332"/>
          </w:tcPr>
          <w:p>
            <w:pPr>
              <w:spacing w:after="10" w:before="10"/>
            </w:pPr>
            <w:r/>
            <w:r>
              <w:rPr>
                <w:b/>
                <w:color w:val="16181D"/>
                <w:sz w:val="11"/>
              </w:rPr>
              <w:t>Okada, Katano, Kozai et al. [METADATA] NEW</w:t>
            </w:r>
          </w:p>
        </w:tc>
        <w:tc>
          <w:tcPr>
            <w:tcW w:type="dxa" w:w="1276"/>
          </w:tcPr>
          <w:p>
            <w:pPr>
              <w:spacing w:after="10" w:before="10"/>
            </w:pPr>
            <w:r/>
            <w:r>
              <w:rPr>
                <w:b w:val="0"/>
                <w:color w:val="16181D"/>
                <w:sz w:val="11"/>
              </w:rPr>
              <w:t>10.4018/jcit.340722</w:t>
            </w:r>
          </w:p>
        </w:tc>
        <w:tc>
          <w:tcPr>
            <w:tcW w:type="dxa" w:w="1389"/>
          </w:tcPr>
          <w:p>
            <w:pPr>
              <w:spacing w:after="10" w:before="10"/>
            </w:pPr>
            <w:r/>
            <w:r>
              <w:rPr>
                <w:b w:val="0"/>
                <w:color w:val="16181D"/>
                <w:sz w:val="11"/>
              </w:rPr>
              <w:t>Journal of Cases on Information Technology 26, 1–14, 2024</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Quantification Theory Type 3 (multiple correspondence analysis) over logs linked to ATT&amp;CK techniques, predicting and visualising lateral movement.</w:t>
            </w:r>
          </w:p>
        </w:tc>
        <w:tc>
          <w:tcPr>
            <w:tcW w:type="dxa" w:w="1729"/>
          </w:tcPr>
          <w:p>
            <w:pPr>
              <w:spacing w:after="10" w:before="10"/>
            </w:pPr>
            <w:r/>
            <w:r>
              <w:rPr>
                <w:b w:val="0"/>
                <w:color w:val="16181D"/>
                <w:sz w:val="11"/>
              </w:rPr>
              <w:t>Not verified as released.</w:t>
            </w:r>
          </w:p>
        </w:tc>
        <w:tc>
          <w:tcPr>
            <w:tcW w:type="dxa" w:w="1729"/>
          </w:tcPr>
          <w:p>
            <w:pPr>
              <w:spacing w:after="10" w:before="10"/>
            </w:pPr>
            <w:r/>
            <w:r>
              <w:rPr>
                <w:b w:val="0"/>
                <w:color w:val="16181D"/>
                <w:sz w:val="11"/>
              </w:rPr>
              <w:t>Not verified.</w:t>
            </w:r>
          </w:p>
        </w:tc>
        <w:tc>
          <w:tcPr>
            <w:tcW w:type="dxa" w:w="1276"/>
          </w:tcPr>
          <w:p>
            <w:pPr>
              <w:spacing w:after="10" w:before="10"/>
            </w:pPr>
            <w:r/>
            <w:r>
              <w:rPr>
                <w:b w:val="0"/>
                <w:color w:val="16181D"/>
                <w:sz w:val="11"/>
              </w:rPr>
              <w:t>None — their output is a device, ours is a technique set.</w:t>
            </w:r>
          </w:p>
        </w:tc>
        <w:tc>
          <w:tcPr>
            <w:tcW w:type="dxa" w:w="1332"/>
          </w:tcPr>
          <w:p>
            <w:pPr>
              <w:spacing w:after="10" w:before="10"/>
            </w:pPr>
            <w:r/>
            <w:r>
              <w:rPr>
                <w:b w:val="0"/>
                <w:color w:val="16181D"/>
                <w:sz w:val="11"/>
              </w:rPr>
              <w:t>PARTIAL but wrong axis — it predicts WHICH HOST is compromised, which is nearer our zone structure than our label structure.</w:t>
            </w:r>
          </w:p>
        </w:tc>
        <w:tc>
          <w:tcPr>
            <w:tcW w:type="dxa" w:w="1276"/>
          </w:tcPr>
          <w:p>
            <w:pPr>
              <w:spacing w:after="10" w:before="10"/>
            </w:pPr>
            <w:r/>
            <w:r>
              <w:rPr>
                <w:b w:val="0"/>
                <w:color w:val="A4302B"/>
                <w:sz w:val="11"/>
              </w:rPr>
              <w:t>FAIL P2 — the output space is devices, not techniques, so there is no mapping to our 84 labels. Found by following the papers that cite Kuwano; worth reading if the zone-prediction question ever becomes a thesis chapter.</w:t>
            </w:r>
          </w:p>
        </w:tc>
        <w:tc>
          <w:tcPr>
            <w:tcW w:type="dxa" w:w="1106"/>
          </w:tcPr>
          <w:p>
            <w:pPr>
              <w:spacing w:after="10" w:before="10"/>
            </w:pPr>
            <w:r/>
            <w:r>
              <w:rPr>
                <w:b w:val="0"/>
                <w:color w:val="A4302B"/>
                <w:sz w:val="11"/>
              </w:rPr>
              <w:t>FAIL Q1.</w:t>
            </w:r>
          </w:p>
        </w:tc>
        <w:tc>
          <w:tcPr>
            <w:tcW w:type="dxa" w:w="1502"/>
          </w:tcPr>
          <w:p>
            <w:pPr>
              <w:spacing w:after="10" w:before="10"/>
            </w:pPr>
            <w:r/>
            <w:r>
              <w:rPr>
                <w:b/>
                <w:color w:val="16181D"/>
                <w:sz w:val="11"/>
              </w:rPr>
              <w:t>CODE + DATASET.</w:t>
            </w:r>
          </w:p>
        </w:tc>
      </w:tr>
      <w:tr>
        <w:tc>
          <w:tcPr>
            <w:tcW w:type="dxa" w:w="1332"/>
          </w:tcPr>
          <w:p>
            <w:pPr>
              <w:spacing w:after="10" w:before="10"/>
            </w:pPr>
            <w:r/>
            <w:r>
              <w:rPr>
                <w:b/>
                <w:color w:val="16181D"/>
                <w:sz w:val="11"/>
              </w:rPr>
              <w:t>Polatidis, Pimenidis &amp; Pavlidis et al. [METADATA]</w:t>
            </w:r>
          </w:p>
        </w:tc>
        <w:tc>
          <w:tcPr>
            <w:tcW w:type="dxa" w:w="1276"/>
          </w:tcPr>
          <w:p>
            <w:pPr>
              <w:spacing w:after="10" w:before="10"/>
            </w:pPr>
            <w:r/>
            <w:r>
              <w:rPr>
                <w:b w:val="0"/>
                <w:color w:val="16181D"/>
                <w:sz w:val="11"/>
              </w:rPr>
              <w:t>10.1007/s12530-018-9234-z</w:t>
            </w:r>
          </w:p>
        </w:tc>
        <w:tc>
          <w:tcPr>
            <w:tcW w:type="dxa" w:w="1389"/>
          </w:tcPr>
          <w:p>
            <w:pPr>
              <w:spacing w:after="10" w:before="10"/>
            </w:pPr>
            <w:r/>
            <w:r>
              <w:rPr>
                <w:b w:val="0"/>
                <w:color w:val="16181D"/>
                <w:sz w:val="11"/>
              </w:rPr>
              <w:t>Evolving Systems 11, 479–490, 2018</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Collaborative filtering over an attack graph from CVE, CWE and maritime supply-chain data.</w:t>
            </w:r>
          </w:p>
        </w:tc>
        <w:tc>
          <w:tcPr>
            <w:tcW w:type="dxa" w:w="1729"/>
          </w:tcPr>
          <w:p>
            <w:pPr>
              <w:spacing w:after="10" w:before="10"/>
            </w:pPr>
            <w:r/>
            <w:r>
              <w:rPr>
                <w:b w:val="0"/>
                <w:color w:val="16181D"/>
                <w:sz w:val="11"/>
              </w:rPr>
              <w:t>CVE / CWE plus an infrastructure model. Not verified as released.</w:t>
            </w:r>
          </w:p>
        </w:tc>
        <w:tc>
          <w:tcPr>
            <w:tcW w:type="dxa" w:w="1729"/>
          </w:tcPr>
          <w:p>
            <w:pPr>
              <w:spacing w:after="10" w:before="10"/>
            </w:pPr>
            <w:r/>
            <w:r>
              <w:rPr>
                <w:b w:val="0"/>
                <w:color w:val="16181D"/>
                <w:sz w:val="11"/>
              </w:rPr>
              <w:t>Not verified.</w:t>
            </w:r>
          </w:p>
        </w:tc>
        <w:tc>
          <w:tcPr>
            <w:tcW w:type="dxa" w:w="1276"/>
          </w:tcPr>
          <w:p>
            <w:pPr>
              <w:spacing w:after="10" w:before="10"/>
            </w:pPr>
            <w:r/>
            <w:r>
              <w:rPr>
                <w:b w:val="0"/>
                <w:color w:val="16181D"/>
                <w:sz w:val="11"/>
              </w:rPr>
              <w:t>None — their items are vulnerabilities, ours are techniques.</w:t>
            </w:r>
          </w:p>
        </w:tc>
        <w:tc>
          <w:tcPr>
            <w:tcW w:type="dxa" w:w="1332"/>
          </w:tcPr>
          <w:p>
            <w:pPr>
              <w:spacing w:after="10" w:before="10"/>
            </w:pPr>
            <w:r/>
            <w:r>
              <w:rPr>
                <w:b w:val="0"/>
                <w:color w:val="16181D"/>
                <w:sz w:val="11"/>
              </w:rPr>
              <w:t>NO.</w:t>
            </w:r>
          </w:p>
        </w:tc>
        <w:tc>
          <w:tcPr>
            <w:tcW w:type="dxa" w:w="1276"/>
          </w:tcPr>
          <w:p>
            <w:pPr>
              <w:spacing w:after="10" w:before="10"/>
            </w:pPr>
            <w:r/>
            <w:r>
              <w:rPr>
                <w:b w:val="0"/>
                <w:color w:val="A4302B"/>
                <w:sz w:val="11"/>
              </w:rPr>
              <w:t>FAIL P1 — CAM-LDS carries no CVE identifiers. Kept as the methodological ancestor of the Kuwano line, which is where the usable comparison lives.</w:t>
            </w:r>
          </w:p>
        </w:tc>
        <w:tc>
          <w:tcPr>
            <w:tcW w:type="dxa" w:w="1106"/>
          </w:tcPr>
          <w:p>
            <w:pPr>
              <w:spacing w:after="10" w:before="10"/>
            </w:pPr>
            <w:r/>
            <w:r>
              <w:rPr>
                <w:b w:val="0"/>
                <w:color w:val="A4302B"/>
                <w:sz w:val="11"/>
              </w:rPr>
              <w:t>FAIL Q1.</w:t>
            </w:r>
          </w:p>
        </w:tc>
        <w:tc>
          <w:tcPr>
            <w:tcW w:type="dxa" w:w="1502"/>
          </w:tcPr>
          <w:p>
            <w:pPr>
              <w:spacing w:after="10" w:before="10"/>
            </w:pPr>
            <w:r/>
            <w:r>
              <w:rPr>
                <w:b/>
                <w:color w:val="16181D"/>
                <w:sz w:val="11"/>
              </w:rPr>
              <w:t>CODE + DATASET.</w:t>
            </w:r>
          </w:p>
        </w:tc>
      </w:tr>
      <w:tr>
        <w:tc>
          <w:tcPr>
            <w:tcW w:type="dxa" w:w="1332"/>
          </w:tcPr>
          <w:p>
            <w:pPr>
              <w:spacing w:after="10" w:before="10"/>
            </w:pPr>
            <w:r/>
            <w:r>
              <w:rPr>
                <w:b/>
                <w:color w:val="16181D"/>
                <w:sz w:val="11"/>
              </w:rPr>
              <w:t>Q-Cowrie — Var Naseri, Welch &amp; Haseeb [PARTIAL]</w:t>
            </w:r>
          </w:p>
        </w:tc>
        <w:tc>
          <w:tcPr>
            <w:tcW w:type="dxa" w:w="1276"/>
          </w:tcPr>
          <w:p>
            <w:pPr>
              <w:spacing w:after="10" w:before="10"/>
            </w:pPr>
            <w:r/>
            <w:r>
              <w:rPr>
                <w:b w:val="0"/>
                <w:color w:val="16181D"/>
                <w:sz w:val="11"/>
              </w:rPr>
              <w:t>10.1007/s10207-026-01221-5</w:t>
            </w:r>
          </w:p>
        </w:tc>
        <w:tc>
          <w:tcPr>
            <w:tcW w:type="dxa" w:w="1389"/>
          </w:tcPr>
          <w:p>
            <w:pPr>
              <w:spacing w:after="10" w:before="10"/>
            </w:pPr>
            <w:r/>
            <w:r>
              <w:rPr>
                <w:b w:val="0"/>
                <w:color w:val="16181D"/>
                <w:sz w:val="11"/>
              </w:rPr>
              <w:t>International Journal of Information Security 25, 2026</w:t>
            </w:r>
          </w:p>
        </w:tc>
        <w:tc>
          <w:tcPr>
            <w:tcW w:type="dxa" w:w="765"/>
          </w:tcPr>
          <w:p>
            <w:pPr>
              <w:spacing w:after="10" w:before="10"/>
            </w:pPr>
            <w:r/>
            <w:r>
              <w:rPr>
                <w:b w:val="0"/>
                <w:color w:val="16181D"/>
                <w:sz w:val="11"/>
              </w:rPr>
              <w:t>Q1 (2025, confirmed)</w:t>
            </w:r>
          </w:p>
        </w:tc>
        <w:tc>
          <w:tcPr>
            <w:tcW w:type="dxa" w:w="1786"/>
          </w:tcPr>
          <w:p>
            <w:pPr>
              <w:spacing w:after="10" w:before="10"/>
            </w:pPr>
            <w:r/>
            <w:r>
              <w:rPr>
                <w:b w:val="0"/>
                <w:color w:val="16181D"/>
                <w:sz w:val="11"/>
              </w:rPr>
              <w:t>Q-learning over an MDP selecting Cowrie responses. Single agent, no placement, no zones.</w:t>
            </w:r>
          </w:p>
        </w:tc>
        <w:tc>
          <w:tcPr>
            <w:tcW w:type="dxa" w:w="1729"/>
          </w:tcPr>
          <w:p>
            <w:pPr>
              <w:spacing w:after="10" w:before="10"/>
            </w:pPr>
            <w:r/>
            <w:r>
              <w:rPr>
                <w:b w:val="0"/>
                <w:color w:val="16181D"/>
                <w:sz w:val="11"/>
              </w:rPr>
              <w:t>More than 400,000 Cowrie sessions. NOT RELEASED — email only; request drafted.</w:t>
            </w:r>
          </w:p>
        </w:tc>
        <w:tc>
          <w:tcPr>
            <w:tcW w:type="dxa" w:w="1729"/>
          </w:tcPr>
          <w:p>
            <w:pPr>
              <w:spacing w:after="10" w:before="10"/>
            </w:pPr>
            <w:r/>
            <w:r>
              <w:rPr>
                <w:b w:val="0"/>
                <w:color w:val="16181D"/>
                <w:sz w:val="11"/>
              </w:rPr>
              <w:t>Engagement and session-length measures. Values not verified.</w:t>
            </w:r>
          </w:p>
        </w:tc>
        <w:tc>
          <w:tcPr>
            <w:tcW w:type="dxa" w:w="1276"/>
          </w:tcPr>
          <w:p>
            <w:pPr>
              <w:spacing w:after="10" w:before="10"/>
            </w:pPr>
            <w:r/>
            <w:r>
              <w:rPr>
                <w:b w:val="0"/>
                <w:color w:val="16181D"/>
                <w:sz w:val="11"/>
              </w:rPr>
              <w:t>Session length as a dwell proxy, if the data ever arrives.</w:t>
            </w:r>
          </w:p>
        </w:tc>
        <w:tc>
          <w:tcPr>
            <w:tcW w:type="dxa" w:w="1332"/>
          </w:tcPr>
          <w:p>
            <w:pPr>
              <w:spacing w:after="10" w:before="10"/>
            </w:pPr>
            <w:r/>
            <w:r>
              <w:rPr>
                <w:b w:val="0"/>
                <w:color w:val="16181D"/>
                <w:sz w:val="11"/>
              </w:rPr>
              <w:t>MODERATE — adaptive response selection, single-agent, no spatial structure.</w:t>
            </w:r>
          </w:p>
        </w:tc>
        <w:tc>
          <w:tcPr>
            <w:tcW w:type="dxa" w:w="1276"/>
          </w:tcPr>
          <w:p>
            <w:pPr>
              <w:spacing w:after="10" w:before="10"/>
            </w:pPr>
            <w:r/>
            <w:r>
              <w:rPr>
                <w:b w:val="0"/>
                <w:color w:val="A4302B"/>
                <w:sz w:val="11"/>
              </w:rPr>
              <w:t>FAIL P1 — their state is a Cowrie session context, not a technique history.</w:t>
            </w:r>
          </w:p>
        </w:tc>
        <w:tc>
          <w:tcPr>
            <w:tcW w:type="dxa" w:w="1106"/>
          </w:tcPr>
          <w:p>
            <w:pPr>
              <w:spacing w:after="10" w:before="10"/>
            </w:pPr>
            <w:r/>
            <w:r>
              <w:rPr>
                <w:b w:val="0"/>
                <w:color w:val="A4302B"/>
                <w:sz w:val="11"/>
              </w:rPr>
              <w:t>FAIL Q1 and Q3 — not released, and no ATT&amp;CK labels are stated anywhere. Would re-enter group B if the email yields labelled data.</w:t>
            </w:r>
          </w:p>
        </w:tc>
        <w:tc>
          <w:tcPr>
            <w:tcW w:type="dxa" w:w="1502"/>
          </w:tcPr>
          <w:p>
            <w:pPr>
              <w:spacing w:after="10" w:before="10"/>
            </w:pPr>
            <w:r/>
            <w:r>
              <w:rPr>
                <w:b/>
                <w:color w:val="16181D"/>
                <w:sz w:val="11"/>
              </w:rPr>
              <w:t>DATASET (by email) + CODE.</w:t>
            </w:r>
          </w:p>
        </w:tc>
      </w:tr>
      <w:tr>
        <w:tc>
          <w:tcPr>
            <w:tcW w:type="dxa" w:w="1332"/>
          </w:tcPr>
          <w:p>
            <w:pPr>
              <w:spacing w:after="10" w:before="10"/>
            </w:pPr>
            <w:r/>
            <w:r>
              <w:rPr>
                <w:b/>
                <w:color w:val="16181D"/>
                <w:sz w:val="11"/>
              </w:rPr>
              <w:t>MURHCAD — Feito-Casares, Gómez-Talal &amp; Rojo-Álvarez [PARTIAL] NEW</w:t>
            </w:r>
          </w:p>
        </w:tc>
        <w:tc>
          <w:tcPr>
            <w:tcW w:type="dxa" w:w="1276"/>
          </w:tcPr>
          <w:p>
            <w:pPr>
              <w:spacing w:after="10" w:before="10"/>
            </w:pPr>
            <w:r/>
            <w:r>
              <w:rPr>
                <w:b w:val="0"/>
                <w:color w:val="16181D"/>
                <w:sz w:val="11"/>
              </w:rPr>
              <w:t>10.1109/ieeedata.2026.3687845</w:t>
            </w:r>
          </w:p>
        </w:tc>
        <w:tc>
          <w:tcPr>
            <w:tcW w:type="dxa" w:w="1389"/>
          </w:tcPr>
          <w:p>
            <w:pPr>
              <w:spacing w:after="10" w:before="10"/>
            </w:pPr>
            <w:r/>
            <w:r>
              <w:rPr>
                <w:b w:val="0"/>
                <w:color w:val="16181D"/>
                <w:sz w:val="11"/>
              </w:rPr>
              <w:t>IEEE Data Descriptions 3, 310–318, 2026</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None — a peer-reviewed data descriptor.</w:t>
            </w:r>
          </w:p>
        </w:tc>
        <w:tc>
          <w:tcPr>
            <w:tcW w:type="dxa" w:w="1729"/>
          </w:tcPr>
          <w:p>
            <w:pPr>
              <w:spacing w:after="10" w:before="10"/>
            </w:pPr>
            <w:r/>
            <w:r>
              <w:rPr>
                <w:b w:val="0"/>
                <w:color w:val="16181D"/>
                <w:sz w:val="11"/>
              </w:rPr>
              <w:t>RELEASED by the nature of the venue. 132,425 attack events, 72 hours (9–11 June 2025) on Azure, 3 honeypots (Cowrie, Dionaea, SentryPeer), 4 VMs, 2,438 source IPs, 95 countries. Fields are connection metadata: timestamps, IPs, ASN, geolocation, ports, protocol.</w:t>
            </w:r>
          </w:p>
        </w:tc>
        <w:tc>
          <w:tcPr>
            <w:tcW w:type="dxa" w:w="1729"/>
          </w:tcPr>
          <w:p>
            <w:pPr>
              <w:spacing w:after="10" w:before="10"/>
            </w:pPr>
            <w:r/>
            <w:r>
              <w:rPr>
                <w:b w:val="0"/>
                <w:color w:val="16181D"/>
                <w:sz w:val="11"/>
              </w:rPr>
              <w:t>Descriptive — traffic skew, temporal peaks, regional bias.</w:t>
            </w:r>
          </w:p>
        </w:tc>
        <w:tc>
          <w:tcPr>
            <w:tcW w:type="dxa" w:w="1276"/>
          </w:tcPr>
          <w:p>
            <w:pPr>
              <w:spacing w:after="10" w:before="10"/>
            </w:pPr>
            <w:r/>
            <w:r>
              <w:rPr>
                <w:b w:val="0"/>
                <w:color w:val="16181D"/>
                <w:sz w:val="11"/>
              </w:rPr>
              <w:t>None.</w:t>
            </w:r>
          </w:p>
        </w:tc>
        <w:tc>
          <w:tcPr>
            <w:tcW w:type="dxa" w:w="1332"/>
          </w:tcPr>
          <w:p>
            <w:pPr>
              <w:spacing w:after="10" w:before="10"/>
            </w:pPr>
            <w:r/>
            <w:r>
              <w:rPr>
                <w:b w:val="0"/>
                <w:color w:val="16181D"/>
                <w:sz w:val="11"/>
              </w:rPr>
              <w:t>NO.</w:t>
            </w:r>
          </w:p>
        </w:tc>
        <w:tc>
          <w:tcPr>
            <w:tcW w:type="dxa" w:w="1276"/>
          </w:tcPr>
          <w:p>
            <w:pPr>
              <w:spacing w:after="10" w:before="10"/>
            </w:pPr>
            <w:r/>
            <w:r>
              <w:rPr>
                <w:b w:val="0"/>
                <w:color w:val="16181D"/>
                <w:sz w:val="11"/>
              </w:rPr>
              <w:t>N/A — no model.</w:t>
            </w:r>
          </w:p>
        </w:tc>
        <w:tc>
          <w:tcPr>
            <w:tcW w:type="dxa" w:w="1106"/>
          </w:tcPr>
          <w:p>
            <w:pPr>
              <w:spacing w:after="10" w:before="10"/>
            </w:pPr>
            <w:r/>
            <w:r>
              <w:rPr>
                <w:b w:val="0"/>
                <w:color w:val="A4302B"/>
                <w:sz w:val="11"/>
              </w:rPr>
              <w:t>FAIL Q2 and Q3 — connection metadata only. No shell commands and no ATT&amp;CK labels, so there is nothing for a command-level model to read. Same category as Boiko &amp; Niiakyi: scanner telemetry.</w:t>
            </w:r>
          </w:p>
        </w:tc>
        <w:tc>
          <w:tcPr>
            <w:tcW w:type="dxa" w:w="1502"/>
          </w:tcPr>
          <w:p>
            <w:pPr>
              <w:spacing w:after="10" w:before="10"/>
            </w:pPr>
            <w:r/>
            <w:r>
              <w:rPr>
                <w:b/>
                <w:color w:val="1F6F4A"/>
                <w:sz w:val="11"/>
              </w:rPr>
              <w:t>NOTHING MISSING — but unusable for our task.</w:t>
            </w:r>
          </w:p>
        </w:tc>
      </w:tr>
      <w:tr>
        <w:tc>
          <w:tcPr>
            <w:tcW w:type="dxa" w:w="1332"/>
          </w:tcPr>
          <w:p>
            <w:pPr>
              <w:spacing w:after="10" w:before="10"/>
            </w:pPr>
            <w:r/>
            <w:r>
              <w:rPr>
                <w:b/>
                <w:color w:val="16181D"/>
                <w:sz w:val="11"/>
              </w:rPr>
              <w:t>Boiko &amp; Niiakyi [PARTIAL]</w:t>
            </w:r>
          </w:p>
        </w:tc>
        <w:tc>
          <w:tcPr>
            <w:tcW w:type="dxa" w:w="1276"/>
          </w:tcPr>
          <w:p>
            <w:pPr>
              <w:spacing w:after="10" w:before="10"/>
            </w:pPr>
            <w:r/>
            <w:r>
              <w:rPr>
                <w:b w:val="0"/>
                <w:color w:val="16181D"/>
                <w:sz w:val="11"/>
              </w:rPr>
              <w:t>10.1016/j.dib.2026.112860</w:t>
            </w:r>
          </w:p>
        </w:tc>
        <w:tc>
          <w:tcPr>
            <w:tcW w:type="dxa" w:w="1389"/>
          </w:tcPr>
          <w:p>
            <w:pPr>
              <w:spacing w:after="10" w:before="10"/>
            </w:pPr>
            <w:r/>
            <w:r>
              <w:rPr>
                <w:b w:val="0"/>
                <w:color w:val="16181D"/>
                <w:sz w:val="11"/>
              </w:rPr>
              <w:t>Data in Brief 66, 112860, 2026</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None — a data paper.</w:t>
            </w:r>
          </w:p>
        </w:tc>
        <w:tc>
          <w:tcPr>
            <w:tcW w:type="dxa" w:w="1729"/>
          </w:tcPr>
          <w:p>
            <w:pPr>
              <w:spacing w:after="10" w:before="10"/>
            </w:pPr>
            <w:r/>
            <w:r>
              <w:rPr>
                <w:b w:val="0"/>
                <w:color w:val="16181D"/>
                <w:sz w:val="11"/>
              </w:rPr>
              <w:t>PUBLIC: Zenodo 10.5281/zenodo.19629700, CC BY. 145,425 events, but only 28 interactive command executions and 4,797 authentication events.</w:t>
            </w:r>
          </w:p>
        </w:tc>
        <w:tc>
          <w:tcPr>
            <w:tcW w:type="dxa" w:w="1729"/>
          </w:tcPr>
          <w:p>
            <w:pPr>
              <w:spacing w:after="10" w:before="10"/>
            </w:pPr>
            <w:r/>
            <w:r>
              <w:rPr>
                <w:b w:val="0"/>
                <w:color w:val="16181D"/>
                <w:sz w:val="11"/>
              </w:rPr>
              <w:t>Descriptive only.</w:t>
            </w:r>
          </w:p>
        </w:tc>
        <w:tc>
          <w:tcPr>
            <w:tcW w:type="dxa" w:w="1276"/>
          </w:tcPr>
          <w:p>
            <w:pPr>
              <w:spacing w:after="10" w:before="10"/>
            </w:pPr>
            <w:r/>
            <w:r>
              <w:rPr>
                <w:b w:val="0"/>
                <w:color w:val="16181D"/>
                <w:sz w:val="11"/>
              </w:rPr>
              <w:t>None.</w:t>
            </w:r>
          </w:p>
        </w:tc>
        <w:tc>
          <w:tcPr>
            <w:tcW w:type="dxa" w:w="1332"/>
          </w:tcPr>
          <w:p>
            <w:pPr>
              <w:spacing w:after="10" w:before="10"/>
            </w:pPr>
            <w:r/>
            <w:r>
              <w:rPr>
                <w:b w:val="0"/>
                <w:color w:val="16181D"/>
                <w:sz w:val="11"/>
              </w:rPr>
              <w:t>NO.</w:t>
            </w:r>
          </w:p>
        </w:tc>
        <w:tc>
          <w:tcPr>
            <w:tcW w:type="dxa" w:w="1276"/>
          </w:tcPr>
          <w:p>
            <w:pPr>
              <w:spacing w:after="10" w:before="10"/>
            </w:pPr>
            <w:r/>
            <w:r>
              <w:rPr>
                <w:b w:val="0"/>
                <w:color w:val="16181D"/>
                <w:sz w:val="11"/>
              </w:rPr>
              <w:t>N/A — no model.</w:t>
            </w:r>
          </w:p>
        </w:tc>
        <w:tc>
          <w:tcPr>
            <w:tcW w:type="dxa" w:w="1106"/>
          </w:tcPr>
          <w:p>
            <w:pPr>
              <w:spacing w:after="10" w:before="10"/>
            </w:pPr>
            <w:r/>
            <w:r>
              <w:rPr>
                <w:b w:val="0"/>
                <w:color w:val="A4302B"/>
                <w:sz w:val="11"/>
              </w:rPr>
              <w:t>FAIL Q4 — 28 interactive commands is three orders of magnitude short, and there are no ATT&amp;CK labels. Scanner and login noise, not attacker behaviour.</w:t>
            </w:r>
          </w:p>
        </w:tc>
        <w:tc>
          <w:tcPr>
            <w:tcW w:type="dxa" w:w="1502"/>
          </w:tcPr>
          <w:p>
            <w:pPr>
              <w:spacing w:after="10" w:before="10"/>
            </w:pPr>
            <w:r/>
            <w:r>
              <w:rPr>
                <w:b/>
                <w:color w:val="1F6F4A"/>
                <w:sz w:val="11"/>
              </w:rPr>
              <w:t>NOTHING MISSING — but unusable for our task.</w:t>
            </w:r>
          </w:p>
        </w:tc>
      </w:tr>
      <w:tr>
        <w:tc>
          <w:tcPr>
            <w:tcW w:type="dxa" w:w="1332"/>
          </w:tcPr>
          <w:p>
            <w:pPr>
              <w:spacing w:after="10" w:before="10"/>
            </w:pPr>
            <w:r/>
            <w:r>
              <w:rPr>
                <w:b/>
                <w:color w:val="16181D"/>
                <w:sz w:val="11"/>
              </w:rPr>
              <w:t>Niloy, Ryan, Rafi et al. [PREPRINT — NOT A JOURNAL]</w:t>
            </w:r>
          </w:p>
        </w:tc>
        <w:tc>
          <w:tcPr>
            <w:tcW w:type="dxa" w:w="1276"/>
          </w:tcPr>
          <w:p>
            <w:pPr>
              <w:spacing w:after="10" w:before="10"/>
            </w:pPr>
            <w:r/>
            <w:r>
              <w:rPr>
                <w:b w:val="0"/>
                <w:color w:val="16181D"/>
                <w:sz w:val="11"/>
              </w:rPr>
              <w:t>arXiv 2606.18190 — no DOI</w:t>
            </w:r>
          </w:p>
        </w:tc>
        <w:tc>
          <w:tcPr>
            <w:tcW w:type="dxa" w:w="1389"/>
          </w:tcPr>
          <w:p>
            <w:pPr>
              <w:spacing w:after="10" w:before="10"/>
            </w:pPr>
            <w:r/>
            <w:r>
              <w:rPr>
                <w:b w:val="0"/>
                <w:color w:val="16181D"/>
                <w:sz w:val="11"/>
              </w:rPr>
              <w:t>arXiv preprint, 2026</w:t>
            </w:r>
          </w:p>
        </w:tc>
        <w:tc>
          <w:tcPr>
            <w:tcW w:type="dxa" w:w="765"/>
          </w:tcPr>
          <w:p>
            <w:pPr>
              <w:spacing w:after="10" w:before="10"/>
            </w:pPr>
            <w:r/>
            <w:r>
              <w:rPr>
                <w:b w:val="0"/>
                <w:color w:val="16181D"/>
                <w:sz w:val="11"/>
              </w:rPr>
              <w:t>n/a</w:t>
            </w:r>
          </w:p>
        </w:tc>
        <w:tc>
          <w:tcPr>
            <w:tcW w:type="dxa" w:w="1786"/>
          </w:tcPr>
          <w:p>
            <w:pPr>
              <w:spacing w:after="10" w:before="10"/>
            </w:pPr>
            <w:r/>
            <w:r>
              <w:rPr>
                <w:b w:val="0"/>
                <w:color w:val="16181D"/>
                <w:sz w:val="11"/>
              </w:rPr>
              <w:t>Three small language models fine-tuned with LoRA for ATT&amp;CK technique identification.</w:t>
            </w:r>
          </w:p>
        </w:tc>
        <w:tc>
          <w:tcPr>
            <w:tcW w:type="dxa" w:w="1729"/>
          </w:tcPr>
          <w:p>
            <w:pPr>
              <w:spacing w:after="10" w:before="10"/>
            </w:pPr>
            <w:r/>
            <w:r>
              <w:rPr>
                <w:b w:val="0"/>
                <w:color w:val="16181D"/>
                <w:sz w:val="11"/>
              </w:rPr>
              <w:t>870 sessions (70 attack, 800 benign), approx. 2.3M events, PER-EVENT ATT&amp;CK labels, 53 techniques across 12 tactics. Release NOT STATED.</w:t>
            </w:r>
          </w:p>
        </w:tc>
        <w:tc>
          <w:tcPr>
            <w:tcW w:type="dxa" w:w="1729"/>
          </w:tcPr>
          <w:p>
            <w:pPr>
              <w:spacing w:after="10" w:before="10"/>
            </w:pPr>
            <w:r/>
            <w:r>
              <w:rPr>
                <w:b w:val="0"/>
                <w:color w:val="16181D"/>
                <w:sz w:val="11"/>
              </w:rPr>
              <w:t>Chunk classification accuracy approx. 8% → 90–97%; exact-match technique identification peaks at 42%.</w:t>
            </w:r>
          </w:p>
        </w:tc>
        <w:tc>
          <w:tcPr>
            <w:tcW w:type="dxa" w:w="1276"/>
          </w:tcPr>
          <w:p>
            <w:pPr>
              <w:spacing w:after="10" w:before="10"/>
            </w:pPr>
            <w:r/>
            <w:r>
              <w:rPr>
                <w:b w:val="0"/>
                <w:color w:val="16181D"/>
                <w:sz w:val="11"/>
              </w:rPr>
              <w:t>Their exact-match technique identification is our exact-set accuracy — the only external work found reporting our hardest metric.</w:t>
            </w:r>
          </w:p>
        </w:tc>
        <w:tc>
          <w:tcPr>
            <w:tcW w:type="dxa" w:w="1332"/>
          </w:tcPr>
          <w:p>
            <w:pPr>
              <w:spacing w:after="10" w:before="10"/>
            </w:pPr>
            <w:r/>
            <w:r>
              <w:rPr>
                <w:b w:val="0"/>
                <w:color w:val="16181D"/>
                <w:sz w:val="11"/>
              </w:rPr>
              <w:t>STRONGEST data structure found — per-EVENT labels, our granularity, the thing the Shell Attack corpus lacks.</w:t>
            </w:r>
          </w:p>
        </w:tc>
        <w:tc>
          <w:tcPr>
            <w:tcW w:type="dxa" w:w="1276"/>
          </w:tcPr>
          <w:p>
            <w:pPr>
              <w:spacing w:after="10" w:before="10"/>
            </w:pPr>
            <w:r/>
            <w:r>
              <w:rPr>
                <w:b w:val="0"/>
                <w:color w:val="A4302B"/>
                <w:sz w:val="11"/>
              </w:rPr>
              <w:t>FAIL P1 — their SLM reads raw log text, not a technique multi-hot.</w:t>
            </w:r>
          </w:p>
        </w:tc>
        <w:tc>
          <w:tcPr>
            <w:tcW w:type="dxa" w:w="1106"/>
          </w:tcPr>
          <w:p>
            <w:pPr>
              <w:spacing w:after="10" w:before="10"/>
            </w:pPr>
            <w:r/>
            <w:r>
              <w:rPr>
                <w:b w:val="0"/>
                <w:color w:val="A4302B"/>
                <w:sz w:val="11"/>
              </w:rPr>
              <w:t>FAIL Q1 — release unconfirmed, and a preprint cannot be a journal comparator. THE ONE TO WATCH: it would go straight into group A on Idea 02 if it is released and published.</w:t>
            </w:r>
          </w:p>
        </w:tc>
        <w:tc>
          <w:tcPr>
            <w:tcW w:type="dxa" w:w="1502"/>
          </w:tcPr>
          <w:p>
            <w:pPr>
              <w:spacing w:after="10" w:before="10"/>
            </w:pPr>
            <w:r/>
            <w:r>
              <w:rPr>
                <w:b/>
                <w:color w:val="16181D"/>
                <w:sz w:val="11"/>
              </w:rPr>
              <w:t>DATASET (release not stated) + CODE. Watch item.</w:t>
            </w:r>
          </w:p>
        </w:tc>
      </w:tr>
      <w:tr>
        <w:tc>
          <w:tcPr>
            <w:tcW w:type="dxa" w:w="1332"/>
          </w:tcPr>
          <w:p>
            <w:pPr>
              <w:spacing w:after="10" w:before="10"/>
            </w:pPr>
            <w:r/>
            <w:r>
              <w:rPr>
                <w:b/>
                <w:color w:val="16181D"/>
                <w:sz w:val="11"/>
              </w:rPr>
              <w:t>ATTAXML — Onwuegbuche, Jurcut &amp; Pasquale [METADATA] NEW</w:t>
            </w:r>
          </w:p>
        </w:tc>
        <w:tc>
          <w:tcPr>
            <w:tcW w:type="dxa" w:w="1276"/>
          </w:tcPr>
          <w:p>
            <w:pPr>
              <w:spacing w:after="10" w:before="10"/>
            </w:pPr>
            <w:r/>
            <w:r>
              <w:rPr>
                <w:b w:val="0"/>
                <w:color w:val="16181D"/>
                <w:sz w:val="11"/>
              </w:rPr>
              <w:t>10.1007/978-3-032-19099-4_37</w:t>
            </w:r>
          </w:p>
        </w:tc>
        <w:tc>
          <w:tcPr>
            <w:tcW w:type="dxa" w:w="1389"/>
          </w:tcPr>
          <w:p>
            <w:pPr>
              <w:spacing w:after="10" w:before="10"/>
            </w:pPr>
            <w:r/>
            <w:r>
              <w:rPr>
                <w:b w:val="0"/>
                <w:color w:val="16181D"/>
                <w:sz w:val="11"/>
              </w:rPr>
              <w:t>CCIS 2026, pp. 534–555 — BOOK CHAPTER, not a journal</w:t>
            </w:r>
          </w:p>
        </w:tc>
        <w:tc>
          <w:tcPr>
            <w:tcW w:type="dxa" w:w="765"/>
          </w:tcPr>
          <w:p>
            <w:pPr>
              <w:spacing w:after="10" w:before="10"/>
            </w:pPr>
            <w:r/>
            <w:r>
              <w:rPr>
                <w:b w:val="0"/>
                <w:color w:val="16181D"/>
                <w:sz w:val="11"/>
              </w:rPr>
              <w:t>n/a</w:t>
            </w:r>
          </w:p>
        </w:tc>
        <w:tc>
          <w:tcPr>
            <w:tcW w:type="dxa" w:w="1786"/>
          </w:tcPr>
          <w:p>
            <w:pPr>
              <w:spacing w:after="10" w:before="10"/>
            </w:pPr>
            <w:r/>
            <w:r>
              <w:rPr>
                <w:b w:val="0"/>
                <w:color w:val="16181D"/>
                <w:sz w:val="11"/>
              </w:rPr>
              <w:t>Extreme multi-label learning predicting the ATT&amp;CK techniques exhibited by ransomware from behavioural data.</w:t>
            </w:r>
          </w:p>
        </w:tc>
        <w:tc>
          <w:tcPr>
            <w:tcW w:type="dxa" w:w="1729"/>
          </w:tcPr>
          <w:p>
            <w:pPr>
              <w:spacing w:after="10" w:before="10"/>
            </w:pPr>
            <w:r/>
            <w:r>
              <w:rPr>
                <w:b w:val="0"/>
                <w:color w:val="16181D"/>
                <w:sz w:val="11"/>
              </w:rPr>
              <w:t>Ransomware behavioural data. Not verified as released.</w:t>
            </w:r>
          </w:p>
        </w:tc>
        <w:tc>
          <w:tcPr>
            <w:tcW w:type="dxa" w:w="1729"/>
          </w:tcPr>
          <w:p>
            <w:pPr>
              <w:spacing w:after="10" w:before="10"/>
            </w:pPr>
            <w:r/>
            <w:r>
              <w:rPr>
                <w:b w:val="0"/>
                <w:color w:val="16181D"/>
                <w:sz w:val="11"/>
              </w:rPr>
              <w:t>Precision@5 81.33%, nDCG@5 91.59%.</w:t>
            </w:r>
          </w:p>
        </w:tc>
        <w:tc>
          <w:tcPr>
            <w:tcW w:type="dxa" w:w="1276"/>
          </w:tcPr>
          <w:p>
            <w:pPr>
              <w:spacing w:after="10" w:before="10"/>
            </w:pPr>
            <w:r/>
            <w:r>
              <w:rPr>
                <w:b w:val="0"/>
                <w:color w:val="16181D"/>
                <w:sz w:val="11"/>
              </w:rPr>
              <w:t>Their Precision@5 and nDCG@5 are directly comparable to our ranking metrics — the closest metric overlap found after Kuwano.</w:t>
            </w:r>
          </w:p>
        </w:tc>
        <w:tc>
          <w:tcPr>
            <w:tcW w:type="dxa" w:w="1332"/>
          </w:tcPr>
          <w:p>
            <w:pPr>
              <w:spacing w:after="10" w:before="10"/>
            </w:pPr>
            <w:r/>
            <w:r>
              <w:rPr>
                <w:b w:val="0"/>
                <w:color w:val="16181D"/>
                <w:sz w:val="11"/>
              </w:rPr>
              <w:t>STRONG on task shape — genuine extreme multi-label ATT&amp;CK technique prediction.</w:t>
            </w:r>
          </w:p>
        </w:tc>
        <w:tc>
          <w:tcPr>
            <w:tcW w:type="dxa" w:w="1276"/>
          </w:tcPr>
          <w:p>
            <w:pPr>
              <w:spacing w:after="10" w:before="10"/>
            </w:pPr>
            <w:r/>
            <w:r>
              <w:rPr>
                <w:b w:val="0"/>
                <w:color w:val="A4302B"/>
                <w:sz w:val="11"/>
              </w:rPr>
              <w:t>FAILS THE JOURNAL REQUIREMENT, not a precondition. Springer CCIS is a conference series. Flagged because the task shape is the closest to ours after Kuwano — worth citing, and worth watching for a journal extension.</w:t>
            </w:r>
          </w:p>
        </w:tc>
        <w:tc>
          <w:tcPr>
            <w:tcW w:type="dxa" w:w="1106"/>
          </w:tcPr>
          <w:p>
            <w:pPr>
              <w:spacing w:after="10" w:before="10"/>
            </w:pPr>
            <w:r/>
            <w:r>
              <w:rPr>
                <w:b w:val="0"/>
                <w:color w:val="A4302B"/>
                <w:sz w:val="11"/>
              </w:rPr>
              <w:t>FAIL Q1 — not verified as released.</w:t>
            </w:r>
          </w:p>
        </w:tc>
        <w:tc>
          <w:tcPr>
            <w:tcW w:type="dxa" w:w="1502"/>
          </w:tcPr>
          <w:p>
            <w:pPr>
              <w:spacing w:after="10" w:before="10"/>
            </w:pPr>
            <w:r/>
            <w:r>
              <w:rPr>
                <w:b/>
                <w:color w:val="16181D"/>
                <w:sz w:val="11"/>
              </w:rPr>
              <w:t>CODE + DATASET (neither verified).</w:t>
            </w:r>
          </w:p>
        </w:tc>
      </w:tr>
      <w:tr>
        <w:tc>
          <w:tcPr>
            <w:tcW w:type="dxa" w:w="1332"/>
          </w:tcPr>
          <w:p>
            <w:pPr>
              <w:spacing w:after="10" w:before="10"/>
            </w:pPr>
            <w:r/>
            <w:r>
              <w:rPr>
                <w:b/>
                <w:color w:val="16181D"/>
                <w:sz w:val="11"/>
              </w:rPr>
              <w:t>SG-MAPPO — Yang et al. [FULL]</w:t>
            </w:r>
          </w:p>
        </w:tc>
        <w:tc>
          <w:tcPr>
            <w:tcW w:type="dxa" w:w="1276"/>
          </w:tcPr>
          <w:p>
            <w:pPr>
              <w:spacing w:after="10" w:before="10"/>
            </w:pPr>
            <w:r/>
            <w:r>
              <w:rPr>
                <w:b w:val="0"/>
                <w:color w:val="16181D"/>
                <w:sz w:val="11"/>
              </w:rPr>
              <w:t>see IEEE IoT-J vol. 12 no. 20</w:t>
            </w:r>
          </w:p>
        </w:tc>
        <w:tc>
          <w:tcPr>
            <w:tcW w:type="dxa" w:w="1389"/>
          </w:tcPr>
          <w:p>
            <w:pPr>
              <w:spacing w:after="10" w:before="10"/>
            </w:pPr>
            <w:r/>
            <w:r>
              <w:rPr>
                <w:b w:val="0"/>
                <w:color w:val="16181D"/>
                <w:sz w:val="11"/>
              </w:rPr>
              <w:t>IEEE Internet of Things Journal 12(20), 41451–41464, 2025</w:t>
            </w:r>
          </w:p>
        </w:tc>
        <w:tc>
          <w:tcPr>
            <w:tcW w:type="dxa" w:w="765"/>
          </w:tcPr>
          <w:p>
            <w:pPr>
              <w:spacing w:after="10" w:before="10"/>
            </w:pPr>
            <w:r/>
            <w:r>
              <w:rPr>
                <w:b w:val="0"/>
                <w:color w:val="16181D"/>
                <w:sz w:val="11"/>
              </w:rPr>
              <w:t>Q1 (2024)</w:t>
            </w:r>
          </w:p>
        </w:tc>
        <w:tc>
          <w:tcPr>
            <w:tcW w:type="dxa" w:w="1786"/>
          </w:tcPr>
          <w:p>
            <w:pPr>
              <w:spacing w:after="10" w:before="10"/>
            </w:pPr>
            <w:r/>
            <w:r>
              <w:rPr>
                <w:b w:val="0"/>
                <w:color w:val="16181D"/>
                <w:sz w:val="11"/>
              </w:rPr>
              <w:t>MAPPO with LSTM and discounted Bayesian belief updates over a multistage signalling game, N=5, T=50. Every parameter in Table III; Algorithm 1 published.</w:t>
            </w:r>
          </w:p>
        </w:tc>
        <w:tc>
          <w:tcPr>
            <w:tcW w:type="dxa" w:w="1729"/>
          </w:tcPr>
          <w:p>
            <w:pPr>
              <w:spacing w:after="10" w:before="10"/>
            </w:pPr>
            <w:r/>
            <w:r>
              <w:rPr>
                <w:b w:val="0"/>
                <w:color w:val="16181D"/>
                <w:sz w:val="11"/>
              </w:rPr>
              <w:t>No dataset — a simulator (PettingZoo AECEnv).</w:t>
            </w:r>
          </w:p>
        </w:tc>
        <w:tc>
          <w:tcPr>
            <w:tcW w:type="dxa" w:w="1729"/>
          </w:tcPr>
          <w:p>
            <w:pPr>
              <w:spacing w:after="10" w:before="10"/>
            </w:pPr>
            <w:r/>
            <w:r>
              <w:rPr>
                <w:b w:val="0"/>
                <w:color w:val="16181D"/>
                <w:sz w:val="11"/>
              </w:rPr>
              <w:t>Convergence in 160 steps / 288.0 s, vs MATRPO 200/620.0, MAA2C 300/450.0, MADDPG 250/550.0.</w:t>
            </w:r>
          </w:p>
        </w:tc>
        <w:tc>
          <w:tcPr>
            <w:tcW w:type="dxa" w:w="1276"/>
          </w:tcPr>
          <w:p>
            <w:pPr>
              <w:spacing w:after="10" w:before="10"/>
            </w:pPr>
            <w:r/>
            <w:r>
              <w:rPr>
                <w:b w:val="0"/>
                <w:color w:val="16181D"/>
                <w:sz w:val="11"/>
              </w:rPr>
              <w:t>None — convergence speed and wall-clock say nothing about deception quality.</w:t>
            </w:r>
          </w:p>
        </w:tc>
        <w:tc>
          <w:tcPr>
            <w:tcW w:type="dxa" w:w="1332"/>
          </w:tcPr>
          <w:p>
            <w:pPr>
              <w:spacing w:after="10" w:before="10"/>
            </w:pPr>
            <w:r/>
            <w:r>
              <w:rPr>
                <w:b w:val="0"/>
                <w:color w:val="16181D"/>
                <w:sz w:val="11"/>
              </w:rPr>
              <w:t>NO — binary signal per host, binary attack/retreat action. No techniques, no zones, no decoy types.</w:t>
            </w:r>
          </w:p>
        </w:tc>
        <w:tc>
          <w:tcPr>
            <w:tcW w:type="dxa" w:w="1276"/>
          </w:tcPr>
          <w:p>
            <w:pPr>
              <w:spacing w:after="10" w:before="10"/>
            </w:pPr>
            <w:r/>
            <w:r>
              <w:rPr>
                <w:b w:val="0"/>
                <w:color w:val="A4302B"/>
                <w:sz w:val="11"/>
              </w:rPr>
              <w:t>FAIL P1 — the model consumes a type in {production, honeypot}; there is no slot for a sequence.</w:t>
            </w:r>
          </w:p>
        </w:tc>
        <w:tc>
          <w:tcPr>
            <w:tcW w:type="dxa" w:w="1106"/>
          </w:tcPr>
          <w:p>
            <w:pPr>
              <w:spacing w:after="10" w:before="10"/>
            </w:pPr>
            <w:r/>
            <w:r>
              <w:rPr>
                <w:b w:val="0"/>
                <w:color w:val="16181D"/>
                <w:sz w:val="11"/>
              </w:rPr>
              <w:t>N/A — no dataset exists.</w:t>
            </w:r>
          </w:p>
        </w:tc>
        <w:tc>
          <w:tcPr>
            <w:tcW w:type="dxa" w:w="1502"/>
          </w:tcPr>
          <w:p>
            <w:pPr>
              <w:spacing w:after="10" w:before="10"/>
            </w:pPr>
            <w:r/>
            <w:r>
              <w:rPr>
                <w:b/>
                <w:color w:val="16181D"/>
                <w:sz w:val="11"/>
              </w:rPr>
              <w:t>IDEA 03 FAIL (a) — the attacker makes one binary decision, so our encoder would have nothing to read. Also: ε_D and ε_A are never given values, no seed count, and 288 s is a measurement on an i9-13900K that cannot be reproduced on other hardware.</w:t>
            </w:r>
          </w:p>
        </w:tc>
      </w:tr>
      <w:tr>
        <w:tc>
          <w:tcPr>
            <w:tcW w:type="dxa" w:w="1332"/>
          </w:tcPr>
          <w:p>
            <w:pPr>
              <w:spacing w:after="10" w:before="10"/>
            </w:pPr>
            <w:r/>
            <w:r>
              <w:rPr>
                <w:b/>
                <w:color w:val="16181D"/>
                <w:sz w:val="11"/>
              </w:rPr>
              <w:t>Li, Zhao &amp; Wu — DRD-PPO [FULL]</w:t>
            </w:r>
          </w:p>
        </w:tc>
        <w:tc>
          <w:tcPr>
            <w:tcW w:type="dxa" w:w="1276"/>
          </w:tcPr>
          <w:p>
            <w:pPr>
              <w:spacing w:after="10" w:before="10"/>
            </w:pPr>
            <w:r/>
            <w:r>
              <w:rPr>
                <w:b w:val="0"/>
                <w:color w:val="16181D"/>
                <w:sz w:val="11"/>
              </w:rPr>
              <w:t>see Sci Rep 15:16830</w:t>
            </w:r>
          </w:p>
        </w:tc>
        <w:tc>
          <w:tcPr>
            <w:tcW w:type="dxa" w:w="1389"/>
          </w:tcPr>
          <w:p>
            <w:pPr>
              <w:spacing w:after="10" w:before="10"/>
            </w:pPr>
            <w:r/>
            <w:r>
              <w:rPr>
                <w:b w:val="0"/>
                <w:color w:val="16181D"/>
                <w:sz w:val="11"/>
              </w:rPr>
              <w:t>Scientific Reports 15, 16830, 2025</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PPO over a 3-subnet, 7-asset NetworkX topology; 500 episodes × 30 steps, Adam lr 0.005, discount 0.9, actor one hidden layer width 32, Softmax output.</w:t>
            </w:r>
          </w:p>
        </w:tc>
        <w:tc>
          <w:tcPr>
            <w:tcW w:type="dxa" w:w="1729"/>
          </w:tcPr>
          <w:p>
            <w:pPr>
              <w:spacing w:after="10" w:before="10"/>
            </w:pPr>
            <w:r/>
            <w:r>
              <w:rPr>
                <w:b w:val="0"/>
                <w:color w:val="16181D"/>
                <w:sz w:val="11"/>
              </w:rPr>
              <w:t>No dataset — a simulator. Table 1 lists the exact CVEs per asset; data-availability statement says everything is in the article.</w:t>
            </w:r>
          </w:p>
        </w:tc>
        <w:tc>
          <w:tcPr>
            <w:tcW w:type="dxa" w:w="1729"/>
          </w:tcPr>
          <w:p>
            <w:pPr>
              <w:spacing w:after="10" w:before="10"/>
            </w:pPr>
            <w:r/>
            <w:r>
              <w:rPr>
                <w:b w:val="0"/>
                <w:color w:val="16181D"/>
                <w:sz w:val="11"/>
              </w:rPr>
              <w:t>DSP 97.09 (500 confrontations) vs Alg1 28.43, Alg2 98.31, Alg3 55.19; and 98.61 at 1,500 confrontations vs DRD-Q 95.32, DRD-SAC 78.89, DRD-PG 87.13.</w:t>
            </w:r>
          </w:p>
        </w:tc>
        <w:tc>
          <w:tcPr>
            <w:tcW w:type="dxa" w:w="1276"/>
          </w:tcPr>
          <w:p>
            <w:pPr>
              <w:spacing w:after="10" w:before="10"/>
            </w:pPr>
            <w:r/>
            <w:r>
              <w:rPr>
                <w:b w:val="0"/>
                <w:color w:val="16181D"/>
                <w:sz w:val="11"/>
              </w:rPr>
              <w:t>Their DSP is computable for us — the one metric bridge to the deception half in this table.</w:t>
            </w:r>
          </w:p>
        </w:tc>
        <w:tc>
          <w:tcPr>
            <w:tcW w:type="dxa" w:w="1332"/>
          </w:tcPr>
          <w:p>
            <w:pPr>
              <w:spacing w:after="10" w:before="10"/>
            </w:pPr>
            <w:r/>
            <w:r>
              <w:rPr>
                <w:b w:val="0"/>
                <w:color w:val="16181D"/>
                <w:sz w:val="11"/>
              </w:rPr>
              <w:t>MODERATE — deception-resource placement over 3 subnets maps onto our zones, but the attacker does one reconnaissance pass and one attack.</w:t>
            </w:r>
          </w:p>
        </w:tc>
        <w:tc>
          <w:tcPr>
            <w:tcW w:type="dxa" w:w="1276"/>
          </w:tcPr>
          <w:p>
            <w:pPr>
              <w:spacing w:after="10" w:before="10"/>
            </w:pPr>
            <w:r/>
            <w:r>
              <w:rPr>
                <w:b w:val="0"/>
                <w:color w:val="A4302B"/>
                <w:sz w:val="11"/>
              </w:rPr>
              <w:t>FAIL P1 — their state is device counts and relationship matrices; importance comes from CVSS vectors, not techniques.</w:t>
            </w:r>
          </w:p>
        </w:tc>
        <w:tc>
          <w:tcPr>
            <w:tcW w:type="dxa" w:w="1106"/>
          </w:tcPr>
          <w:p>
            <w:pPr>
              <w:spacing w:after="10" w:before="10"/>
            </w:pPr>
            <w:r/>
            <w:r>
              <w:rPr>
                <w:b w:val="0"/>
                <w:color w:val="16181D"/>
                <w:sz w:val="11"/>
              </w:rPr>
              <w:t>N/A — no dataset exists.</w:t>
            </w:r>
          </w:p>
        </w:tc>
        <w:tc>
          <w:tcPr>
            <w:tcW w:type="dxa" w:w="1502"/>
          </w:tcPr>
          <w:p>
            <w:pPr>
              <w:spacing w:after="10" w:before="10"/>
            </w:pPr>
            <w:r/>
            <w:r>
              <w:rPr>
                <w:b/>
                <w:color w:val="16181D"/>
                <w:sz w:val="11"/>
              </w:rPr>
              <w:t>IDEA 03 FAIL (a) — best of a bad field: (b) and (c) pass, (a) fails. Also missing R1, R2 and w; the clip factor is 0.2 in the text but 0.9 in Table 2; Table 2 swaps the host and server labels against the topology; no seed count.</w:t>
            </w:r>
          </w:p>
        </w:tc>
      </w:tr>
    </w:tbl>
    <w:p>
      <w:pPr>
        <w:spacing w:after="200"/>
      </w:pPr>
      <w:r>
        <w:rPr>
          <w:b w:val="0"/>
          <w:color w:val="565D6B"/>
          <w:sz w:val="14"/>
        </w:rPr>
        <w:t>Verification:  FULL = full text read (Kuwano, SG-MAPPO, DRD-PPO).  PARTIAL = key facts confirmed from the publisher record plus the authors' repository or dataset card.  METADATA = only the Crossref record verified; model internals and dataset NOT known.  UNSCORED means the publisher blocks automated access — it is not a pass and not a fail, and no precondition was guessed. Quartiles: only IEEE IoT-J (Q1 2024) and IJIS (Q1 2025) are confirmed; every 'check' is unverified because Scimago blocks automation.</w:t>
      </w:r>
    </w:p>
    <w:p>
      <w:pPr>
        <w:spacing w:before="240" w:after="100"/>
        <w:pBdr>
          <w:bottom w:val="single" w:sz="12" w:color="16181D" w:space="2"/>
        </w:pBdr>
      </w:pPr>
      <w:r>
        <w:rPr>
          <w:b/>
          <w:color w:val="16181D"/>
          <w:sz w:val="30"/>
        </w:rPr>
        <w:t>The finalised answer</w:t>
      </w:r>
    </w:p>
    <w:p>
      <w:pPr>
        <w:spacing w:after="100"/>
      </w:pPr>
      <w:r>
        <w:rPr>
          <w:b w:val="0"/>
          <w:color w:val="565D6B"/>
          <w:sz w:val="18"/>
        </w:rPr>
        <w:t>DO NOW — Kuwano et al. 2023, both ideas. It is the only paper in 23 that clears P1–P4, and the only one reproducible number-for-number, because the algorithm is deterministic and every input is public. Reimplementing Algorithm 1 gives you a published external baseline on your own splits, and their three CISA cases give you an external test set for your encoder.</w:t>
      </w:r>
    </w:p>
    <w:p>
      <w:pPr>
        <w:spacing w:after="100"/>
      </w:pPr>
      <w:r>
        <w:rPr>
          <w:b w:val="0"/>
          <w:color w:val="565D6B"/>
          <w:sz w:val="18"/>
        </w:rPr>
        <w:t>DO NEXT, AFTER ONE CHECK — the Shell Attack Evolution Dataset for Idea 02. Q1, Q2 and Q4 pass. Q3 is the single open question: their technique labels sit on sessions, not commands. Read their released pipeline and determine whether per-command labels are deterministically recoverable. If yes, this is the external-validity test for H4 on real attacker data. If no, it drops to group E and Idea 02 has no qualifying corpus at all.</w:t>
      </w:r>
    </w:p>
    <w:p>
      <w:pPr>
        <w:spacing w:after="100"/>
      </w:pPr>
      <w:r>
        <w:rPr>
          <w:b w:val="0"/>
          <w:color w:val="565D6B"/>
          <w:sz w:val="18"/>
        </w:rPr>
        <w:t>PULL FOUR PDFS — DeepOP, Lanka et al., Erceylan et al. and Lim &amp; Hobert are unscored only because MDPI and ACM return 403 to automated access. Lanka et al. is the one that matters most: it is the only journal paper found that pairs honeypot COMMANDS with ATT&amp;CK labels, which is exactly our structure. These four are the whole remaining upside in the table.</w:t>
      </w:r>
    </w:p>
    <w:p>
      <w:pPr>
        <w:spacing w:after="100"/>
      </w:pPr>
      <w:r>
        <w:rPr>
          <w:b w:val="0"/>
          <w:color w:val="565D6B"/>
          <w:sz w:val="18"/>
        </w:rPr>
        <w:t>ACCEPT TWO NULLS — Idea 03 has no qualifying environment. Every published deception environment examined gives the attacker one decision: SG-MAPPO binary attack/retreat, DRD-PPO a single reconnaissance-and-strike. Our contribution is history-conditioned placement, so there is no history to condition on in any of them. And the deception half has no external comparator at all, because no public corpus declares zones or a campaign goal. Both are findings to state, not gaps to apologise for.</w:t>
      </w:r>
    </w:p>
    <w:p>
      <w:pPr>
        <w:spacing w:after="100"/>
      </w:pPr>
      <w:r>
        <w:rPr>
          <w:b w:val="0"/>
          <w:color w:val="565D6B"/>
          <w:sz w:val="18"/>
        </w:rPr>
        <w:t>ONE CORRECTION CARRIED FORWARD — Sadique &amp; Sengupta is a TCN over IoT botnet traffic, not an attack-sequence paper. It is an architecture to borrow for a fourth encoder arm, not a comparator. Counting it as one was the error the strict preconditions caught.</w:t>
      </w:r>
    </w:p>
    <w:sectPr w:rsidR="00FC693F" w:rsidRPr="0006063C" w:rsidSect="00034616">
      <w:pgSz w:w="16838" w:h="11906" w:orient="landscape"/>
      <w:pgMar w:top="510" w:right="454" w:bottom="510" w:left="4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color w:val="16181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