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6181D"/>
          <w:sz w:val="34"/>
        </w:rPr>
        <w:t>Idea 01 / Idea 02 comparators — papers our data can enter, or whose data can enter our model</w:t>
      </w:r>
    </w:p>
    <w:p>
      <w:pPr>
        <w:spacing w:after="200"/>
      </w:pPr>
      <w:r>
        <w:rPr>
          <w:b w:val="0"/>
          <w:color w:val="565D6B"/>
          <w:sz w:val="17"/>
        </w:rPr>
        <w:t>13 rows · every DOI Crossref-verified · searched via Google Scholar, Crossref, Semantic Scholar, Hugging Face and the authors' own repositories · 2026-10-13</w:t>
      </w:r>
    </w:p>
    <w:p>
      <w:pPr>
        <w:spacing w:before="0" w:after="100"/>
        <w:pBdr>
          <w:bottom w:val="single" w:sz="12" w:color="16181D" w:space="2"/>
        </w:pBdr>
      </w:pPr>
      <w:r>
        <w:rPr>
          <w:b/>
          <w:color w:val="16181D"/>
          <w:sz w:val="30"/>
        </w:rPr>
        <w:t>Section 2 — The matrix</w:t>
      </w:r>
    </w:p>
    <w:p>
      <w:pPr>
        <w:spacing w:after="120"/>
      </w:pPr>
      <w:r>
        <w:rPr>
          <w:b w:val="0"/>
          <w:color w:val="565D6B"/>
          <w:sz w:val="17"/>
        </w:rPr>
        <w:t>Idea 01 = run our dataset through their model.   Idea 02 = run their dataset through our model.   Reproducible column shows WHAT IS MISSING to reproduce the paper.</w:t>
      </w:r>
    </w:p>
    <w:tbl>
      <w:tblPr>
        <w:tblStyle w:val="TableGrid"/>
        <w:tblW w:type="auto" w:w="0"/>
        <w:jc w:val="center"/>
        <w:tblLayout w:type="fixed"/>
        <w:tblLook w:firstColumn="1" w:firstRow="1" w:lastColumn="0" w:lastRow="0" w:noHBand="0" w:noVBand="1" w:val="04A0"/>
      </w:tblPr>
      <w:tblGrid>
        <w:gridCol w:w="1327"/>
        <w:gridCol w:w="1327"/>
        <w:gridCol w:w="1327"/>
        <w:gridCol w:w="1327"/>
        <w:gridCol w:w="1327"/>
        <w:gridCol w:w="1327"/>
        <w:gridCol w:w="1327"/>
        <w:gridCol w:w="1327"/>
        <w:gridCol w:w="1327"/>
        <w:gridCol w:w="1327"/>
        <w:gridCol w:w="1327"/>
        <w:gridCol w:w="1327"/>
      </w:tblGrid>
      <w:tr>
        <w:trPr>
          <w:tblHeader w:val="true"/>
        </w:trPr>
        <w:tc>
          <w:tcPr>
            <w:tcW w:type="dxa" w:w="1332"/>
            <w:shd w:val="clear" w:fill="F3F1ED"/>
          </w:tcPr>
          <w:p>
            <w:pPr>
              <w:spacing w:after="10" w:before="10"/>
            </w:pPr>
            <w:r/>
            <w:r>
              <w:rPr>
                <w:b/>
                <w:color w:val="565D6B"/>
                <w:sz w:val="12"/>
              </w:rPr>
              <w:t>Paper</w:t>
            </w:r>
          </w:p>
        </w:tc>
        <w:tc>
          <w:tcPr>
            <w:tcW w:type="dxa" w:w="1276"/>
            <w:shd w:val="clear" w:fill="F3F1ED"/>
          </w:tcPr>
          <w:p>
            <w:pPr>
              <w:spacing w:after="10" w:before="10"/>
            </w:pPr>
            <w:r/>
            <w:r>
              <w:rPr>
                <w:b/>
                <w:color w:val="565D6B"/>
                <w:sz w:val="12"/>
              </w:rPr>
              <w:t>DOI</w:t>
            </w:r>
          </w:p>
        </w:tc>
        <w:tc>
          <w:tcPr>
            <w:tcW w:type="dxa" w:w="1389"/>
            <w:shd w:val="clear" w:fill="F3F1ED"/>
          </w:tcPr>
          <w:p>
            <w:pPr>
              <w:spacing w:after="10" w:before="10"/>
            </w:pPr>
            <w:r/>
            <w:r>
              <w:rPr>
                <w:b/>
                <w:color w:val="565D6B"/>
                <w:sz w:val="12"/>
              </w:rPr>
              <w:t>Journal / year</w:t>
            </w:r>
          </w:p>
        </w:tc>
        <w:tc>
          <w:tcPr>
            <w:tcW w:type="dxa" w:w="765"/>
            <w:shd w:val="clear" w:fill="F3F1ED"/>
          </w:tcPr>
          <w:p>
            <w:pPr>
              <w:spacing w:after="10" w:before="10"/>
            </w:pPr>
            <w:r/>
            <w:r>
              <w:rPr>
                <w:b/>
                <w:color w:val="565D6B"/>
                <w:sz w:val="12"/>
              </w:rPr>
              <w:t>Q</w:t>
            </w:r>
          </w:p>
        </w:tc>
        <w:tc>
          <w:tcPr>
            <w:tcW w:type="dxa" w:w="1786"/>
            <w:shd w:val="clear" w:fill="F3F1ED"/>
          </w:tcPr>
          <w:p>
            <w:pPr>
              <w:spacing w:after="10" w:before="10"/>
            </w:pPr>
            <w:r/>
            <w:r>
              <w:rPr>
                <w:b/>
                <w:color w:val="565D6B"/>
                <w:sz w:val="12"/>
              </w:rPr>
              <w:t>Exact model</w:t>
            </w:r>
          </w:p>
        </w:tc>
        <w:tc>
          <w:tcPr>
            <w:tcW w:type="dxa" w:w="1729"/>
            <w:shd w:val="clear" w:fill="F3F1ED"/>
          </w:tcPr>
          <w:p>
            <w:pPr>
              <w:spacing w:after="10" w:before="10"/>
            </w:pPr>
            <w:r/>
            <w:r>
              <w:rPr>
                <w:b/>
                <w:color w:val="565D6B"/>
                <w:sz w:val="12"/>
              </w:rPr>
              <w:t>Dataset</w:t>
            </w:r>
          </w:p>
        </w:tc>
        <w:tc>
          <w:tcPr>
            <w:tcW w:type="dxa" w:w="1729"/>
            <w:shd w:val="clear" w:fill="F3F1ED"/>
          </w:tcPr>
          <w:p>
            <w:pPr>
              <w:spacing w:after="10" w:before="10"/>
            </w:pPr>
            <w:r/>
            <w:r>
              <w:rPr>
                <w:b/>
                <w:color w:val="565D6B"/>
                <w:sz w:val="12"/>
              </w:rPr>
              <w:t>Their metric</w:t>
            </w:r>
          </w:p>
        </w:tc>
        <w:tc>
          <w:tcPr>
            <w:tcW w:type="dxa" w:w="1276"/>
            <w:shd w:val="clear" w:fill="F3F1ED"/>
          </w:tcPr>
          <w:p>
            <w:pPr>
              <w:spacing w:after="10" w:before="10"/>
            </w:pPr>
            <w:r/>
            <w:r>
              <w:rPr>
                <w:b/>
                <w:color w:val="565D6B"/>
                <w:sz w:val="12"/>
              </w:rPr>
              <w:t>Our matching metric</w:t>
            </w:r>
          </w:p>
        </w:tc>
        <w:tc>
          <w:tcPr>
            <w:tcW w:type="dxa" w:w="1332"/>
            <w:shd w:val="clear" w:fill="F3F1ED"/>
          </w:tcPr>
          <w:p>
            <w:pPr>
              <w:spacing w:after="10" w:before="10"/>
            </w:pPr>
            <w:r/>
            <w:r>
              <w:rPr>
                <w:b/>
                <w:color w:val="565D6B"/>
                <w:sz w:val="12"/>
              </w:rPr>
              <w:t>Goal match</w:t>
            </w:r>
          </w:p>
        </w:tc>
        <w:tc>
          <w:tcPr>
            <w:tcW w:type="dxa" w:w="1276"/>
            <w:shd w:val="clear" w:fill="F3F1ED"/>
          </w:tcPr>
          <w:p>
            <w:pPr>
              <w:spacing w:after="10" w:before="10"/>
            </w:pPr>
            <w:r/>
            <w:r>
              <w:rPr>
                <w:b/>
                <w:color w:val="565D6B"/>
                <w:sz w:val="12"/>
              </w:rPr>
              <w:t>Idea 01</w:t>
            </w:r>
          </w:p>
        </w:tc>
        <w:tc>
          <w:tcPr>
            <w:tcW w:type="dxa" w:w="1106"/>
            <w:shd w:val="clear" w:fill="F3F1ED"/>
          </w:tcPr>
          <w:p>
            <w:pPr>
              <w:spacing w:after="10" w:before="10"/>
            </w:pPr>
            <w:r/>
            <w:r>
              <w:rPr>
                <w:b/>
                <w:color w:val="565D6B"/>
                <w:sz w:val="12"/>
              </w:rPr>
              <w:t>Idea 02</w:t>
            </w:r>
          </w:p>
        </w:tc>
        <w:tc>
          <w:tcPr>
            <w:tcW w:type="dxa" w:w="1502"/>
            <w:shd w:val="clear" w:fill="F3F1ED"/>
          </w:tcPr>
          <w:p>
            <w:pPr>
              <w:spacing w:after="10" w:before="10"/>
            </w:pPr>
            <w:r/>
            <w:r>
              <w:rPr>
                <w:b/>
                <w:color w:val="565D6B"/>
                <w:sz w:val="12"/>
              </w:rPr>
              <w:t>Reproducible: what is missing</w:t>
            </w:r>
          </w:p>
        </w:tc>
      </w:tr>
      <w:tr>
        <w:tc>
          <w:tcPr>
            <w:tcW w:type="dxa" w:w="1502"/>
            <w:gridSpan w:val="12"/>
            <w:shd w:val="clear" w:fill="E8E4DC"/>
          </w:tcPr>
          <w:p>
            <w:pPr>
              <w:spacing w:after="10" w:before="10"/>
            </w:pPr>
            <w:r/>
            <w:r>
              <w:rPr>
                <w:b/>
                <w:color w:val="A4302B"/>
                <w:sz w:val="14"/>
              </w:rPr>
              <w:t>A. BOTH IDEAS VIABLE — a direct, two-way comparison is possible</w:t>
            </w:r>
          </w:p>
        </w:tc>
      </w:tr>
      <w:tr>
        <w:tc>
          <w:tcPr>
            <w:tcW w:type="dxa" w:w="1332"/>
          </w:tcPr>
          <w:p>
            <w:pPr>
              <w:spacing w:after="10" w:before="10"/>
            </w:pPr>
            <w:r/>
            <w:r>
              <w:rPr>
                <w:b/>
                <w:color w:val="16181D"/>
                <w:sz w:val="11"/>
              </w:rPr>
              <w:t>Kuwano, Okuma, Okada &amp; Mitsunaga [FULL]</w:t>
            </w:r>
          </w:p>
        </w:tc>
        <w:tc>
          <w:tcPr>
            <w:tcW w:type="dxa" w:w="1276"/>
          </w:tcPr>
          <w:p>
            <w:pPr>
              <w:spacing w:after="10" w:before="10"/>
            </w:pPr>
            <w:r/>
            <w:r>
              <w:rPr>
                <w:b w:val="0"/>
                <w:color w:val="16181D"/>
                <w:sz w:val="11"/>
              </w:rPr>
              <w:t>10.2197/ipsjjip.31.802</w:t>
            </w:r>
          </w:p>
        </w:tc>
        <w:tc>
          <w:tcPr>
            <w:tcW w:type="dxa" w:w="1389"/>
          </w:tcPr>
          <w:p>
            <w:pPr>
              <w:spacing w:after="10" w:before="10"/>
            </w:pPr>
            <w:r/>
            <w:r>
              <w:rPr>
                <w:b w:val="0"/>
                <w:color w:val="16181D"/>
                <w:sz w:val="11"/>
              </w:rPr>
              <w:t>Journal of Information Processing 31, 802–811, 2023</w:t>
            </w:r>
          </w:p>
        </w:tc>
        <w:tc>
          <w:tcPr>
            <w:tcW w:type="dxa" w:w="765"/>
          </w:tcPr>
          <w:p>
            <w:pPr>
              <w:spacing w:after="10" w:before="10"/>
            </w:pPr>
            <w:r/>
            <w:r>
              <w:rPr>
                <w:b w:val="0"/>
                <w:color w:val="16181D"/>
                <w:sz w:val="11"/>
              </w:rPr>
              <w:t>check</w:t>
            </w:r>
          </w:p>
        </w:tc>
        <w:tc>
          <w:tcPr>
            <w:tcW w:type="dxa" w:w="1786"/>
          </w:tcPr>
          <w:p>
            <w:pPr>
              <w:spacing w:after="10" w:before="10"/>
            </w:pPr>
            <w:r/>
            <w:r>
              <w:rPr>
                <w:b w:val="0"/>
                <w:color w:val="16181D"/>
                <w:sz w:val="11"/>
              </w:rPr>
              <w:t>User-based collaborative filtering; WkNN with Sørensen–Dice similarity, k=60, support-rate threshold 0.17. Algorithm 1 published as complete pseudocode. DETERMINISTIC — no gradient training, so there is no seed to match.</w:t>
            </w:r>
          </w:p>
        </w:tc>
        <w:tc>
          <w:tcPr>
            <w:tcW w:type="dxa" w:w="1729"/>
          </w:tcPr>
          <w:p>
            <w:pPr>
              <w:spacing w:after="10" w:before="10"/>
            </w:pPr>
            <w:r/>
            <w:r>
              <w:rPr>
                <w:b w:val="0"/>
                <w:color w:val="16181D"/>
                <w:sz w:val="11"/>
              </w:rPr>
              <w:t>FULLY PUBLIC. Train = ATT&amp;CK v11 group×technique binary matrix (133 groups, 191 techniques). Test = 3 CISA alerts: AA22-277A (26 techniques), AA22-138B (13 listed, 12 used), AA22-174A (13).</w:t>
            </w:r>
          </w:p>
        </w:tc>
        <w:tc>
          <w:tcPr>
            <w:tcW w:type="dxa" w:w="1729"/>
          </w:tcPr>
          <w:p>
            <w:pPr>
              <w:spacing w:after="10" w:before="10"/>
            </w:pPr>
            <w:r/>
            <w:r>
              <w:rPr>
                <w:b w:val="0"/>
                <w:color w:val="16181D"/>
                <w:sz w:val="11"/>
              </w:rPr>
              <w:t>Recall, specificity and accuracy plotted against the number of input techniques. FULL confusion matrices (TP/FP/TN/FN at every input count) in Tables 5, 6 and 7.</w:t>
            </w:r>
          </w:p>
        </w:tc>
        <w:tc>
          <w:tcPr>
            <w:tcW w:type="dxa" w:w="1276"/>
          </w:tcPr>
          <w:p>
            <w:pPr>
              <w:spacing w:after="10" w:before="10"/>
            </w:pPr>
            <w:r/>
            <w:r>
              <w:rPr>
                <w:b w:val="0"/>
                <w:color w:val="16181D"/>
                <w:sz w:val="11"/>
              </w:rPr>
              <w:t>Our per-command micro-recall and exact-set accuracy over 84 labels — identical multi-label confusion structure</w:t>
            </w:r>
          </w:p>
        </w:tc>
        <w:tc>
          <w:tcPr>
            <w:tcW w:type="dxa" w:w="1332"/>
          </w:tcPr>
          <w:p>
            <w:pPr>
              <w:spacing w:after="10" w:before="10"/>
            </w:pPr>
            <w:r/>
            <w:r>
              <w:rPr>
                <w:b w:val="0"/>
                <w:color w:val="16181D"/>
                <w:sz w:val="11"/>
              </w:rPr>
              <w:t>STRONG on the prediction half. Input = multi-hot of observed techniques, output = multi-hot of predicted techniques. That is exactly our task. No deception or RL half.</w:t>
            </w:r>
          </w:p>
        </w:tc>
        <w:tc>
          <w:tcPr>
            <w:tcW w:type="dxa" w:w="1276"/>
          </w:tcPr>
          <w:p>
            <w:pPr>
              <w:spacing w:after="10" w:before="10"/>
            </w:pPr>
            <w:r/>
            <w:r>
              <w:rPr>
                <w:b w:val="0"/>
                <w:color w:val="1F6F4A"/>
                <w:sz w:val="11"/>
              </w:rPr>
              <w:t>YES — THE STRONGEST FOUND. Our multi-hot command history IS their 'adversary dataset' row (their Table 2). Reimplement Algorithm 1 in about 50 lines and run it on CAM-LDS as a published baseline.</w:t>
            </w:r>
          </w:p>
        </w:tc>
        <w:tc>
          <w:tcPr>
            <w:tcW w:type="dxa" w:w="1106"/>
          </w:tcPr>
          <w:p>
            <w:pPr>
              <w:spacing w:after="10" w:before="10"/>
            </w:pPr>
            <w:r/>
            <w:r>
              <w:rPr>
                <w:b w:val="0"/>
                <w:color w:val="1F6F4A"/>
                <w:sz w:val="11"/>
              </w:rPr>
              <w:t>YES — their training matrix and all three test alerts are public today. We can score our encoder on AA22-277A / AA22-138B / AA22-174A directly.</w:t>
            </w:r>
          </w:p>
        </w:tc>
        <w:tc>
          <w:tcPr>
            <w:tcW w:type="dxa" w:w="1502"/>
          </w:tcPr>
          <w:p>
            <w:pPr>
              <w:spacing w:after="10" w:before="10"/>
            </w:pPr>
            <w:r/>
            <w:r>
              <w:rPr>
                <w:b/>
                <w:color w:val="1F6F4A"/>
                <w:sz w:val="11"/>
              </w:rPr>
              <w:t>NOTHING MISSING. The only fully reproducible paper found: deterministic algorithm, public inputs, and exact confusion matrices rather than figures.</w:t>
            </w:r>
          </w:p>
        </w:tc>
      </w:tr>
      <w:tr>
        <w:tc>
          <w:tcPr>
            <w:tcW w:type="dxa" w:w="1332"/>
          </w:tcPr>
          <w:p>
            <w:pPr>
              <w:spacing w:after="10" w:before="10"/>
            </w:pPr>
            <w:r/>
            <w:r>
              <w:rPr>
                <w:b/>
                <w:color w:val="16181D"/>
                <w:sz w:val="11"/>
              </w:rPr>
              <w:t>HoneyGPT — Wang, You, Wang et al. [PARTIAL]</w:t>
            </w:r>
          </w:p>
        </w:tc>
        <w:tc>
          <w:tcPr>
            <w:tcW w:type="dxa" w:w="1276"/>
          </w:tcPr>
          <w:p>
            <w:pPr>
              <w:spacing w:after="10" w:before="10"/>
            </w:pPr>
            <w:r/>
            <w:r>
              <w:rPr>
                <w:b w:val="0"/>
                <w:color w:val="16181D"/>
                <w:sz w:val="11"/>
              </w:rPr>
              <w:t>10.1016/j.comnet.2026.112223</w:t>
            </w:r>
          </w:p>
        </w:tc>
        <w:tc>
          <w:tcPr>
            <w:tcW w:type="dxa" w:w="1389"/>
          </w:tcPr>
          <w:p>
            <w:pPr>
              <w:spacing w:after="10" w:before="10"/>
            </w:pPr>
            <w:r/>
            <w:r>
              <w:rPr>
                <w:b w:val="0"/>
                <w:color w:val="16181D"/>
                <w:sz w:val="11"/>
              </w:rPr>
              <w:t>Computer Networks 282, 112223, 2026</w:t>
            </w:r>
          </w:p>
        </w:tc>
        <w:tc>
          <w:tcPr>
            <w:tcW w:type="dxa" w:w="765"/>
          </w:tcPr>
          <w:p>
            <w:pPr>
              <w:spacing w:after="10" w:before="10"/>
            </w:pPr>
            <w:r/>
            <w:r>
              <w:rPr>
                <w:b w:val="0"/>
                <w:color w:val="16181D"/>
                <w:sz w:val="11"/>
              </w:rPr>
              <w:t>check</w:t>
            </w:r>
          </w:p>
        </w:tc>
        <w:tc>
          <w:tcPr>
            <w:tcW w:type="dxa" w:w="1786"/>
          </w:tcPr>
          <w:p>
            <w:pPr>
              <w:spacing w:after="10" w:before="10"/>
            </w:pPr>
            <w:r/>
            <w:r>
              <w:rPr>
                <w:b w:val="0"/>
                <w:color w:val="16181D"/>
                <w:sz w:val="11"/>
              </w:rPr>
              <w:t>LLM-driven SSH/Telnet honeypot built on Cowrie with structured prompting. Not a trainable sequence model.</w:t>
            </w:r>
          </w:p>
        </w:tc>
        <w:tc>
          <w:tcPr>
            <w:tcW w:type="dxa" w:w="1729"/>
          </w:tcPr>
          <w:p>
            <w:pPr>
              <w:spacing w:after="10" w:before="10"/>
            </w:pPr>
            <w:r/>
            <w:r>
              <w:rPr>
                <w:b w:val="0"/>
                <w:color w:val="16181D"/>
                <w:sz w:val="11"/>
              </w:rPr>
              <w:t>PUBLIC companion corpus — the Shell Attack Evolution Dataset (CC BY 4.0, Hugging Face). Deception evaluation uses its 1,489-turn request_response/curated split.</w:t>
            </w:r>
          </w:p>
        </w:tc>
        <w:tc>
          <w:tcPr>
            <w:tcW w:type="dxa" w:w="1729"/>
          </w:tcPr>
          <w:p>
            <w:pPr>
              <w:spacing w:after="10" w:before="10"/>
            </w:pPr>
            <w:r/>
            <w:r>
              <w:rPr>
                <w:b w:val="0"/>
                <w:color w:val="16181D"/>
                <w:sz w:val="11"/>
              </w:rPr>
              <w:t>Deception metrics including successful response rate, session length and a native capability test. Result CSVs released under evaluation/.</w:t>
            </w:r>
          </w:p>
        </w:tc>
        <w:tc>
          <w:tcPr>
            <w:tcW w:type="dxa" w:w="1276"/>
          </w:tcPr>
          <w:p>
            <w:pPr>
              <w:spacing w:after="10" w:before="10"/>
            </w:pPr>
            <w:r/>
            <w:r>
              <w:rPr>
                <w:b w:val="0"/>
                <w:color w:val="16181D"/>
                <w:sz w:val="11"/>
              </w:rPr>
              <w:t>Our dwell proxy = commands per engaged session. No protection-rate analogue exists in their design.</w:t>
            </w:r>
          </w:p>
        </w:tc>
        <w:tc>
          <w:tcPr>
            <w:tcW w:type="dxa" w:w="1332"/>
          </w:tcPr>
          <w:p>
            <w:pPr>
              <w:spacing w:after="10" w:before="10"/>
            </w:pPr>
            <w:r/>
            <w:r>
              <w:rPr>
                <w:b w:val="0"/>
                <w:color w:val="16181D"/>
                <w:sz w:val="11"/>
              </w:rPr>
              <w:t>WEAK on method — response generation, not placement policy. STRONG on data.</w:t>
            </w:r>
          </w:p>
        </w:tc>
        <w:tc>
          <w:tcPr>
            <w:tcW w:type="dxa" w:w="1276"/>
          </w:tcPr>
          <w:p>
            <w:pPr>
              <w:spacing w:after="10" w:before="10"/>
            </w:pPr>
            <w:r/>
            <w:r>
              <w:rPr>
                <w:b w:val="0"/>
                <w:color w:val="A4302B"/>
                <w:sz w:val="11"/>
              </w:rPr>
              <w:t>NO — their system emits responses; it never consumes a technique history as input, so there is no input slot for CAM-LDS.</w:t>
            </w:r>
          </w:p>
        </w:tc>
        <w:tc>
          <w:tcPr>
            <w:tcW w:type="dxa" w:w="1106"/>
          </w:tcPr>
          <w:p>
            <w:pPr>
              <w:spacing w:after="10" w:before="10"/>
            </w:pPr>
            <w:r/>
            <w:r>
              <w:rPr>
                <w:b w:val="0"/>
                <w:color w:val="1F6F4A"/>
                <w:sz w:val="11"/>
              </w:rPr>
              <w:t>YES, indirectly — through the companion dataset in the next row. This paper is the data route, not the model route.</w:t>
            </w:r>
          </w:p>
        </w:tc>
        <w:tc>
          <w:tcPr>
            <w:tcW w:type="dxa" w:w="1502"/>
          </w:tcPr>
          <w:p>
            <w:pPr>
              <w:spacing w:after="10" w:before="10"/>
            </w:pPr>
            <w:r/>
            <w:r>
              <w:rPr>
                <w:b/>
                <w:color w:val="1F6F4A"/>
                <w:sz w:val="11"/>
              </w:rPr>
              <w:t>NOTHING MISSING for the system — code released BSD-3-Clause and data CC BY 4.0. CORRECTS our earlier matrix, which recorded no code. Practical caveats: LLM API cost and model-version drift.</w:t>
            </w:r>
          </w:p>
        </w:tc>
      </w:tr>
      <w:tr>
        <w:tc>
          <w:tcPr>
            <w:tcW w:type="dxa" w:w="1332"/>
          </w:tcPr>
          <w:p>
            <w:pPr>
              <w:spacing w:after="10" w:before="10"/>
            </w:pPr>
            <w:r/>
            <w:r>
              <w:rPr>
                <w:b/>
                <w:color w:val="16181D"/>
                <w:sz w:val="11"/>
              </w:rPr>
              <w:t>Wang, Lv, Wang et al. — Shell Attack Evolution Dataset [PARTIAL]</w:t>
            </w:r>
          </w:p>
        </w:tc>
        <w:tc>
          <w:tcPr>
            <w:tcW w:type="dxa" w:w="1276"/>
          </w:tcPr>
          <w:p>
            <w:pPr>
              <w:spacing w:after="10" w:before="10"/>
            </w:pPr>
            <w:r/>
            <w:r>
              <w:rPr>
                <w:b w:val="0"/>
                <w:color w:val="16181D"/>
                <w:sz w:val="11"/>
              </w:rPr>
              <w:t>10.1109/srds69199.2025.00032</w:t>
            </w:r>
          </w:p>
        </w:tc>
        <w:tc>
          <w:tcPr>
            <w:tcW w:type="dxa" w:w="1389"/>
          </w:tcPr>
          <w:p>
            <w:pPr>
              <w:spacing w:after="10" w:before="10"/>
            </w:pPr>
            <w:r/>
            <w:r>
              <w:rPr>
                <w:b w:val="0"/>
                <w:color w:val="16181D"/>
                <w:sz w:val="11"/>
              </w:rPr>
              <w:t>IEEE SRDS 2025, pp. 207–217 — CONFERENCE, not a journal</w:t>
            </w:r>
          </w:p>
        </w:tc>
        <w:tc>
          <w:tcPr>
            <w:tcW w:type="dxa" w:w="765"/>
          </w:tcPr>
          <w:p>
            <w:pPr>
              <w:spacing w:after="10" w:before="10"/>
            </w:pPr>
            <w:r/>
            <w:r>
              <w:rPr>
                <w:b w:val="0"/>
                <w:color w:val="16181D"/>
                <w:sz w:val="11"/>
              </w:rPr>
              <w:t>n/a</w:t>
            </w:r>
          </w:p>
        </w:tc>
        <w:tc>
          <w:tcPr>
            <w:tcW w:type="dxa" w:w="1786"/>
          </w:tcPr>
          <w:p>
            <w:pPr>
              <w:spacing w:after="10" w:before="10"/>
            </w:pPr>
            <w:r/>
            <w:r>
              <w:rPr>
                <w:b w:val="0"/>
                <w:color w:val="16181D"/>
                <w:sz w:val="11"/>
              </w:rPr>
              <w:t>No learned model — this is a data-analysis and dataset-release paper.</w:t>
            </w:r>
          </w:p>
        </w:tc>
        <w:tc>
          <w:tcPr>
            <w:tcW w:type="dxa" w:w="1729"/>
          </w:tcPr>
          <w:p>
            <w:pPr>
              <w:spacing w:after="10" w:before="10"/>
            </w:pPr>
            <w:r/>
            <w:r>
              <w:rPr>
                <w:b w:val="0"/>
                <w:color w:val="16181D"/>
                <w:sz w:val="11"/>
              </w:rPr>
              <w:t>PUBLIC, CC BY 4.0 (pipeline MIT). sessions: 5,365 (2021–22) + 6,658 (2024) = 12,023, with fields session_id / src_ip / commands (ordered list) / command_count / attack_techniques (ordered, consecutive duplicates collapsed). commands: 12,923 + 4,236. request_response: 1,512 + 1,489 with turn_index. Distinct techniques 22 → 27.</w:t>
            </w:r>
          </w:p>
        </w:tc>
        <w:tc>
          <w:tcPr>
            <w:tcW w:type="dxa" w:w="1729"/>
          </w:tcPr>
          <w:p>
            <w:pPr>
              <w:spacing w:after="10" w:before="10"/>
            </w:pPr>
            <w:r/>
            <w:r>
              <w:rPr>
                <w:b w:val="0"/>
                <w:color w:val="16181D"/>
                <w:sz w:val="11"/>
              </w:rPr>
              <w:t>Descriptive: mean session length falls 12.65 → 5.00 commands; per-period tactic and technique shares.</w:t>
            </w:r>
          </w:p>
        </w:tc>
        <w:tc>
          <w:tcPr>
            <w:tcW w:type="dxa" w:w="1276"/>
          </w:tcPr>
          <w:p>
            <w:pPr>
              <w:spacing w:after="10" w:before="10"/>
            </w:pPr>
            <w:r/>
            <w:r>
              <w:rPr>
                <w:b w:val="0"/>
                <w:color w:val="16181D"/>
                <w:sz w:val="11"/>
              </w:rPr>
              <w:t>None directly — it is a data source, not a baseline to beat.</w:t>
            </w:r>
          </w:p>
        </w:tc>
        <w:tc>
          <w:tcPr>
            <w:tcW w:type="dxa" w:w="1332"/>
          </w:tcPr>
          <w:p>
            <w:pPr>
              <w:spacing w:after="10" w:before="10"/>
            </w:pPr>
            <w:r/>
            <w:r>
              <w:rPr>
                <w:b w:val="0"/>
                <w:color w:val="16181D"/>
                <w:sz w:val="11"/>
              </w:rPr>
              <w:t>The closest DATA match in the field: ordered real commands plus ordered ATT&amp;CK technique labels, the same structure as CAM-LDS but from real attackers rather than a generator.</w:t>
            </w:r>
          </w:p>
        </w:tc>
        <w:tc>
          <w:tcPr>
            <w:tcW w:type="dxa" w:w="1276"/>
          </w:tcPr>
          <w:p>
            <w:pPr>
              <w:spacing w:after="10" w:before="10"/>
            </w:pPr>
            <w:r/>
            <w:r>
              <w:rPr>
                <w:b w:val="0"/>
                <w:color w:val="16181D"/>
                <w:sz w:val="11"/>
              </w:rPr>
              <w:t>N/A — there is no model to feed.</w:t>
            </w:r>
          </w:p>
        </w:tc>
        <w:tc>
          <w:tcPr>
            <w:tcW w:type="dxa" w:w="1106"/>
          </w:tcPr>
          <w:p>
            <w:pPr>
              <w:spacing w:after="10" w:before="10"/>
            </w:pPr>
            <w:r/>
            <w:r>
              <w:rPr>
                <w:b w:val="0"/>
                <w:color w:val="1F6F4A"/>
                <w:sz w:val="11"/>
              </w:rPr>
              <w:t>YES — BEST REAL-DATA OPTION FOUND. Two caveats: technique labels are SESSION-level, so per-command targets must be re-derived with their released pipeline; and there are no zones and no declared goal, so it can drive our prediction half but never our RL half.</w:t>
            </w:r>
          </w:p>
        </w:tc>
        <w:tc>
          <w:tcPr>
            <w:tcW w:type="dxa" w:w="1502"/>
          </w:tcPr>
          <w:p>
            <w:pPr>
              <w:spacing w:after="10" w:before="10"/>
            </w:pPr>
            <w:r/>
            <w:r>
              <w:rPr>
                <w:b/>
                <w:color w:val="1F6F4A"/>
                <w:sz w:val="11"/>
              </w:rPr>
              <w:t>NOTHING MISSING — data CC BY 4.0, analysis pipeline MIT. Included because the dataset is the asset; the venue is a conference, so cite the journal HoneyGPT paper alongside it.</w:t>
            </w:r>
          </w:p>
        </w:tc>
      </w:tr>
      <w:tr>
        <w:tc>
          <w:tcPr>
            <w:tcW w:type="dxa" w:w="1502"/>
            <w:gridSpan w:val="12"/>
            <w:shd w:val="clear" w:fill="E8E4DC"/>
          </w:tcPr>
          <w:p>
            <w:pPr>
              <w:spacing w:after="10" w:before="10"/>
            </w:pPr>
            <w:r/>
            <w:r>
              <w:rPr>
                <w:b/>
                <w:color w:val="A4302B"/>
                <w:sz w:val="14"/>
              </w:rPr>
              <w:t>B. IDEA 01 ONLY — their model can take our data; their data cannot come to us</w:t>
            </w:r>
          </w:p>
        </w:tc>
      </w:tr>
      <w:tr>
        <w:tc>
          <w:tcPr>
            <w:tcW w:type="dxa" w:w="1332"/>
          </w:tcPr>
          <w:p>
            <w:pPr>
              <w:spacing w:after="10" w:before="10"/>
            </w:pPr>
            <w:r/>
            <w:r>
              <w:rPr>
                <w:b/>
                <w:color w:val="16181D"/>
                <w:sz w:val="11"/>
              </w:rPr>
              <w:t>DeepOP — Zhang, Xue &amp; Su [PARTIAL]</w:t>
            </w:r>
          </w:p>
        </w:tc>
        <w:tc>
          <w:tcPr>
            <w:tcW w:type="dxa" w:w="1276"/>
          </w:tcPr>
          <w:p>
            <w:pPr>
              <w:spacing w:after="10" w:before="10"/>
            </w:pPr>
            <w:r/>
            <w:r>
              <w:rPr>
                <w:b w:val="0"/>
                <w:color w:val="16181D"/>
                <w:sz w:val="11"/>
              </w:rPr>
              <w:t>10.3390/electronics14020257</w:t>
            </w:r>
          </w:p>
        </w:tc>
        <w:tc>
          <w:tcPr>
            <w:tcW w:type="dxa" w:w="1389"/>
          </w:tcPr>
          <w:p>
            <w:pPr>
              <w:spacing w:after="10" w:before="10"/>
            </w:pPr>
            <w:r/>
            <w:r>
              <w:rPr>
                <w:b w:val="0"/>
                <w:color w:val="16181D"/>
                <w:sz w:val="11"/>
              </w:rPr>
              <w:t>Electronics 14, 257, 2025</w:t>
            </w:r>
          </w:p>
        </w:tc>
        <w:tc>
          <w:tcPr>
            <w:tcW w:type="dxa" w:w="765"/>
          </w:tcPr>
          <w:p>
            <w:pPr>
              <w:spacing w:after="10" w:before="10"/>
            </w:pPr>
            <w:r/>
            <w:r>
              <w:rPr>
                <w:b w:val="0"/>
                <w:color w:val="16181D"/>
                <w:sz w:val="11"/>
              </w:rPr>
              <w:t>check</w:t>
            </w:r>
          </w:p>
        </w:tc>
        <w:tc>
          <w:tcPr>
            <w:tcW w:type="dxa" w:w="1786"/>
          </w:tcPr>
          <w:p>
            <w:pPr>
              <w:spacing w:after="10" w:before="10"/>
            </w:pPr>
            <w:r/>
            <w:r>
              <w:rPr>
                <w:b w:val="0"/>
                <w:color w:val="16181D"/>
                <w:sz w:val="11"/>
              </w:rPr>
              <w:t>Transformer with a causal window self-attention mechanism, plus ontological reasoning over CTI. Targets multi-step APT prediction in IIoT.</w:t>
            </w:r>
          </w:p>
        </w:tc>
        <w:tc>
          <w:tcPr>
            <w:tcW w:type="dxa" w:w="1729"/>
          </w:tcPr>
          <w:p>
            <w:pPr>
              <w:spacing w:after="10" w:before="10"/>
            </w:pPr>
            <w:r/>
            <w:r>
              <w:rPr>
                <w:b w:val="0"/>
                <w:color w:val="16181D"/>
                <w:sz w:val="11"/>
              </w:rPr>
              <w:t>Attack sequences extracted from CTI reports by ontological reasoning. Public release NOT VERIFIED — MDPI blocks automated access and I could not read the Data Availability statement.</w:t>
            </w:r>
          </w:p>
        </w:tc>
        <w:tc>
          <w:tcPr>
            <w:tcW w:type="dxa" w:w="1729"/>
          </w:tcPr>
          <w:p>
            <w:pPr>
              <w:spacing w:after="10" w:before="10"/>
            </w:pPr>
            <w:r/>
            <w:r>
              <w:rPr>
                <w:b w:val="0"/>
                <w:color w:val="16181D"/>
                <w:sz w:val="11"/>
              </w:rPr>
              <w:t>Technique-level sequence prediction. A Transformer baseline is reported at accuracy 0.857 / F1 0.861; DeepOP's own headline figures are not verified by me.</w:t>
            </w:r>
          </w:p>
        </w:tc>
        <w:tc>
          <w:tcPr>
            <w:tcW w:type="dxa" w:w="1276"/>
          </w:tcPr>
          <w:p>
            <w:pPr>
              <w:spacing w:after="10" w:before="10"/>
            </w:pPr>
            <w:r/>
            <w:r>
              <w:rPr>
                <w:b w:val="0"/>
                <w:color w:val="16181D"/>
                <w:sz w:val="11"/>
              </w:rPr>
              <w:t>Our micro-F1 over 84 labels — comparable only if their output is multi-label rather than top-1.</w:t>
            </w:r>
          </w:p>
        </w:tc>
        <w:tc>
          <w:tcPr>
            <w:tcW w:type="dxa" w:w="1332"/>
          </w:tcPr>
          <w:p>
            <w:pPr>
              <w:spacing w:after="10" w:before="10"/>
            </w:pPr>
            <w:r/>
            <w:r>
              <w:rPr>
                <w:b w:val="0"/>
                <w:color w:val="16181D"/>
                <w:sz w:val="11"/>
              </w:rPr>
              <w:t>MODERATE — technique-level sequence prediction matches, but the IIoT framing and ontology context are not things CAM-LDS can supply.</w:t>
            </w:r>
          </w:p>
        </w:tc>
        <w:tc>
          <w:tcPr>
            <w:tcW w:type="dxa" w:w="1276"/>
          </w:tcPr>
          <w:p>
            <w:pPr>
              <w:spacing w:after="10" w:before="10"/>
            </w:pPr>
            <w:r/>
            <w:r>
              <w:rPr>
                <w:b w:val="0"/>
                <w:color w:val="16181D"/>
                <w:sz w:val="11"/>
              </w:rPr>
              <w:t>PARTIAL — our ordered technique sequences fit the sequence input, but the ontology branch needs IIoT asset and vulnerability facts CAM-LDS does not carry. The transformer branch alone is feedable.</w:t>
            </w:r>
          </w:p>
        </w:tc>
        <w:tc>
          <w:tcPr>
            <w:tcW w:type="dxa" w:w="1106"/>
          </w:tcPr>
          <w:p>
            <w:pPr>
              <w:spacing w:after="10" w:before="10"/>
            </w:pPr>
            <w:r/>
            <w:r>
              <w:rPr>
                <w:b w:val="0"/>
                <w:color w:val="16181D"/>
                <w:sz w:val="11"/>
              </w:rPr>
              <w:t>UNKNOWN — release status not verified. Author contact already drafted (zhangsq@zut.edu.cn).</w:t>
            </w:r>
          </w:p>
        </w:tc>
        <w:tc>
          <w:tcPr>
            <w:tcW w:type="dxa" w:w="1502"/>
          </w:tcPr>
          <w:p>
            <w:pPr>
              <w:spacing w:after="10" w:before="10"/>
            </w:pPr>
            <w:r/>
            <w:r>
              <w:rPr>
                <w:b/>
                <w:color w:val="16181D"/>
                <w:sz w:val="11"/>
              </w:rPr>
              <w:t>CODE + (probably) DATASET — neither confirmed as released.</w:t>
            </w:r>
          </w:p>
        </w:tc>
      </w:tr>
      <w:tr>
        <w:tc>
          <w:tcPr>
            <w:tcW w:type="dxa" w:w="1332"/>
          </w:tcPr>
          <w:p>
            <w:pPr>
              <w:spacing w:after="10" w:before="10"/>
            </w:pPr>
            <w:r/>
            <w:r>
              <w:rPr>
                <w:b/>
                <w:color w:val="16181D"/>
                <w:sz w:val="11"/>
              </w:rPr>
              <w:t>BAN — Kim, Lee &amp; Kwon [METADATA]</w:t>
            </w:r>
          </w:p>
        </w:tc>
        <w:tc>
          <w:tcPr>
            <w:tcW w:type="dxa" w:w="1276"/>
          </w:tcPr>
          <w:p>
            <w:pPr>
              <w:spacing w:after="10" w:before="10"/>
            </w:pPr>
            <w:r/>
            <w:r>
              <w:rPr>
                <w:b w:val="0"/>
                <w:color w:val="16181D"/>
                <w:sz w:val="11"/>
              </w:rPr>
              <w:t>10.1109/access.2023.3306593</w:t>
            </w:r>
          </w:p>
        </w:tc>
        <w:tc>
          <w:tcPr>
            <w:tcW w:type="dxa" w:w="1389"/>
          </w:tcPr>
          <w:p>
            <w:pPr>
              <w:spacing w:after="10" w:before="10"/>
            </w:pPr>
            <w:r/>
            <w:r>
              <w:rPr>
                <w:b w:val="0"/>
                <w:color w:val="16181D"/>
                <w:sz w:val="11"/>
              </w:rPr>
              <w:t>IEEE Access 11, 91949–91968, 2023</w:t>
            </w:r>
          </w:p>
        </w:tc>
        <w:tc>
          <w:tcPr>
            <w:tcW w:type="dxa" w:w="765"/>
          </w:tcPr>
          <w:p>
            <w:pPr>
              <w:spacing w:after="10" w:before="10"/>
            </w:pPr>
            <w:r/>
            <w:r>
              <w:rPr>
                <w:b w:val="0"/>
                <w:color w:val="16181D"/>
                <w:sz w:val="11"/>
              </w:rPr>
              <w:t>check</w:t>
            </w:r>
          </w:p>
        </w:tc>
        <w:tc>
          <w:tcPr>
            <w:tcW w:type="dxa" w:w="1786"/>
          </w:tcPr>
          <w:p>
            <w:pPr>
              <w:spacing w:after="10" w:before="10"/>
            </w:pPr>
            <w:r/>
            <w:r>
              <w:rPr>
                <w:b w:val="0"/>
                <w:color w:val="16181D"/>
                <w:sz w:val="11"/>
              </w:rPr>
              <w:t>Bayesian network over the ATT&amp;CK framework, predicting upcoming techniques and deriving countermeasures. Structure and parameterisation NOT verified by me.</w:t>
            </w:r>
          </w:p>
        </w:tc>
        <w:tc>
          <w:tcPr>
            <w:tcW w:type="dxa" w:w="1729"/>
          </w:tcPr>
          <w:p>
            <w:pPr>
              <w:spacing w:after="10" w:before="10"/>
            </w:pPr>
            <w:r/>
            <w:r>
              <w:rPr>
                <w:b w:val="0"/>
                <w:color w:val="16181D"/>
                <w:sz w:val="11"/>
              </w:rPr>
              <w:t>Not verified. The paper states that both automatic and manual labelling were used to offset limited APT prediction data.</w:t>
            </w:r>
          </w:p>
        </w:tc>
        <w:tc>
          <w:tcPr>
            <w:tcW w:type="dxa" w:w="1729"/>
          </w:tcPr>
          <w:p>
            <w:pPr>
              <w:spacing w:after="10" w:before="10"/>
            </w:pPr>
            <w:r/>
            <w:r>
              <w:rPr>
                <w:b w:val="0"/>
                <w:color w:val="16181D"/>
                <w:sz w:val="11"/>
              </w:rPr>
              <w:t>Not verified.</w:t>
            </w:r>
          </w:p>
        </w:tc>
        <w:tc>
          <w:tcPr>
            <w:tcW w:type="dxa" w:w="1276"/>
          </w:tcPr>
          <w:p>
            <w:pPr>
              <w:spacing w:after="10" w:before="10"/>
            </w:pPr>
            <w:r/>
            <w:r>
              <w:rPr>
                <w:b w:val="0"/>
                <w:color w:val="16181D"/>
                <w:sz w:val="11"/>
              </w:rPr>
              <w:t>Our multi-label recall, if their output is a technique set rather than a single technique.</w:t>
            </w:r>
          </w:p>
        </w:tc>
        <w:tc>
          <w:tcPr>
            <w:tcW w:type="dxa" w:w="1332"/>
          </w:tcPr>
          <w:p>
            <w:pPr>
              <w:spacing w:after="10" w:before="10"/>
            </w:pPr>
            <w:r/>
            <w:r>
              <w:rPr>
                <w:b w:val="0"/>
                <w:color w:val="16181D"/>
                <w:sz w:val="11"/>
              </w:rPr>
              <w:t>MODERATE on structure — observed techniques in, upcoming techniques out, the same as ours.</w:t>
            </w:r>
          </w:p>
        </w:tc>
        <w:tc>
          <w:tcPr>
            <w:tcW w:type="dxa" w:w="1276"/>
          </w:tcPr>
          <w:p>
            <w:pPr>
              <w:spacing w:after="10" w:before="10"/>
            </w:pPr>
            <w:r/>
            <w:r>
              <w:rPr>
                <w:b w:val="0"/>
                <w:color w:val="16181D"/>
                <w:sz w:val="11"/>
              </w:rPr>
              <w:t>PARTIAL — the input shape matches our multi-hot history, but the network structure is fitted on their own labelled corpus, which we would have to refit on ours.</w:t>
            </w:r>
          </w:p>
        </w:tc>
        <w:tc>
          <w:tcPr>
            <w:tcW w:type="dxa" w:w="1106"/>
          </w:tcPr>
          <w:p>
            <w:pPr>
              <w:spacing w:after="10" w:before="10"/>
            </w:pPr>
            <w:r/>
            <w:r>
              <w:rPr>
                <w:b w:val="0"/>
                <w:color w:val="A4302B"/>
                <w:sz w:val="11"/>
              </w:rPr>
              <w:t>NO — their corpus is not verified as released.</w:t>
            </w:r>
          </w:p>
        </w:tc>
        <w:tc>
          <w:tcPr>
            <w:tcW w:type="dxa" w:w="1502"/>
          </w:tcPr>
          <w:p>
            <w:pPr>
              <w:spacing w:after="10" w:before="10"/>
            </w:pPr>
            <w:r/>
            <w:r>
              <w:rPr>
                <w:b/>
                <w:color w:val="16181D"/>
                <w:sz w:val="11"/>
              </w:rPr>
              <w:t>CODE + DATASET (neither verified).</w:t>
            </w:r>
          </w:p>
        </w:tc>
      </w:tr>
      <w:tr>
        <w:tc>
          <w:tcPr>
            <w:tcW w:type="dxa" w:w="1332"/>
          </w:tcPr>
          <w:p>
            <w:pPr>
              <w:spacing w:after="10" w:before="10"/>
            </w:pPr>
            <w:r/>
            <w:r>
              <w:rPr>
                <w:b/>
                <w:color w:val="16181D"/>
                <w:sz w:val="11"/>
              </w:rPr>
              <w:t>Sadique &amp; Sengupta [METADATA]</w:t>
            </w:r>
          </w:p>
        </w:tc>
        <w:tc>
          <w:tcPr>
            <w:tcW w:type="dxa" w:w="1276"/>
          </w:tcPr>
          <w:p>
            <w:pPr>
              <w:spacing w:after="10" w:before="10"/>
            </w:pPr>
            <w:r/>
            <w:r>
              <w:rPr>
                <w:b w:val="0"/>
                <w:color w:val="16181D"/>
                <w:sz w:val="11"/>
              </w:rPr>
              <w:t>10.1016/j.cose.2022.102714</w:t>
            </w:r>
          </w:p>
        </w:tc>
        <w:tc>
          <w:tcPr>
            <w:tcW w:type="dxa" w:w="1389"/>
          </w:tcPr>
          <w:p>
            <w:pPr>
              <w:spacing w:after="10" w:before="10"/>
            </w:pPr>
            <w:r/>
            <w:r>
              <w:rPr>
                <w:b w:val="0"/>
                <w:color w:val="16181D"/>
                <w:sz w:val="11"/>
              </w:rPr>
              <w:t>Computers &amp; Security 117, 102714, 2022</w:t>
            </w:r>
          </w:p>
        </w:tc>
        <w:tc>
          <w:tcPr>
            <w:tcW w:type="dxa" w:w="765"/>
          </w:tcPr>
          <w:p>
            <w:pPr>
              <w:spacing w:after="10" w:before="10"/>
            </w:pPr>
            <w:r/>
            <w:r>
              <w:rPr>
                <w:b w:val="0"/>
                <w:color w:val="16181D"/>
                <w:sz w:val="11"/>
              </w:rPr>
              <w:t>check</w:t>
            </w:r>
          </w:p>
        </w:tc>
        <w:tc>
          <w:tcPr>
            <w:tcW w:type="dxa" w:w="1786"/>
          </w:tcPr>
          <w:p>
            <w:pPr>
              <w:spacing w:after="10" w:before="10"/>
            </w:pPr>
            <w:r/>
            <w:r>
              <w:rPr>
                <w:b w:val="0"/>
                <w:color w:val="16181D"/>
                <w:sz w:val="11"/>
              </w:rPr>
              <w:t>Temporal Convolution Network (TCN) modelling attacker behaviour in an IoT botnet. Model family confirmed from the Crossref title; internals not read by me.</w:t>
            </w:r>
          </w:p>
        </w:tc>
        <w:tc>
          <w:tcPr>
            <w:tcW w:type="dxa" w:w="1729"/>
          </w:tcPr>
          <w:p>
            <w:pPr>
              <w:spacing w:after="10" w:before="10"/>
            </w:pPr>
            <w:r/>
            <w:r>
              <w:rPr>
                <w:b w:val="0"/>
                <w:color w:val="16181D"/>
                <w:sz w:val="11"/>
              </w:rPr>
              <w:t>IoT botnet attacker behaviour. Not verified as released.</w:t>
            </w:r>
          </w:p>
        </w:tc>
        <w:tc>
          <w:tcPr>
            <w:tcW w:type="dxa" w:w="1729"/>
          </w:tcPr>
          <w:p>
            <w:pPr>
              <w:spacing w:after="10" w:before="10"/>
            </w:pPr>
            <w:r/>
            <w:r>
              <w:rPr>
                <w:b w:val="0"/>
                <w:color w:val="16181D"/>
                <w:sz w:val="11"/>
              </w:rPr>
              <w:t>Not verified.</w:t>
            </w:r>
          </w:p>
        </w:tc>
        <w:tc>
          <w:tcPr>
            <w:tcW w:type="dxa" w:w="1276"/>
          </w:tcPr>
          <w:p>
            <w:pPr>
              <w:spacing w:after="10" w:before="10"/>
            </w:pPr>
            <w:r/>
            <w:r>
              <w:rPr>
                <w:b w:val="0"/>
                <w:color w:val="16181D"/>
                <w:sz w:val="11"/>
              </w:rPr>
              <w:t>Our per-command prediction metrics — a TCN is a drop-in fourth encoder alongside our Transformer / GRU / LSTM arms.</w:t>
            </w:r>
          </w:p>
        </w:tc>
        <w:tc>
          <w:tcPr>
            <w:tcW w:type="dxa" w:w="1332"/>
          </w:tcPr>
          <w:p>
            <w:pPr>
              <w:spacing w:after="10" w:before="10"/>
            </w:pPr>
            <w:r/>
            <w:r>
              <w:rPr>
                <w:b w:val="0"/>
                <w:color w:val="16181D"/>
                <w:sz w:val="11"/>
              </w:rPr>
              <w:t>MODERATE — a sequence model over attacker behaviour, but the units are botnet traffic features, not ATT&amp;CK techniques.</w:t>
            </w:r>
          </w:p>
        </w:tc>
        <w:tc>
          <w:tcPr>
            <w:tcW w:type="dxa" w:w="1276"/>
          </w:tcPr>
          <w:p>
            <w:pPr>
              <w:spacing w:after="10" w:before="10"/>
            </w:pPr>
            <w:r/>
            <w:r>
              <w:rPr>
                <w:b w:val="0"/>
                <w:color w:val="16181D"/>
                <w:sz w:val="11"/>
              </w:rPr>
              <w:t>PARTIAL and genuinely useful — architecture-compatible with our encoder bench, so we can add a TCN arm and test whether dilated convolutions change the architecture-equivalence result. Their feature space is not ours.</w:t>
            </w:r>
          </w:p>
        </w:tc>
        <w:tc>
          <w:tcPr>
            <w:tcW w:type="dxa" w:w="1106"/>
          </w:tcPr>
          <w:p>
            <w:pPr>
              <w:spacing w:after="10" w:before="10"/>
            </w:pPr>
            <w:r/>
            <w:r>
              <w:rPr>
                <w:b w:val="0"/>
                <w:color w:val="A4302B"/>
                <w:sz w:val="11"/>
              </w:rPr>
              <w:t>NO — not verified as released.</w:t>
            </w:r>
          </w:p>
        </w:tc>
        <w:tc>
          <w:tcPr>
            <w:tcW w:type="dxa" w:w="1502"/>
          </w:tcPr>
          <w:p>
            <w:pPr>
              <w:spacing w:after="10" w:before="10"/>
            </w:pPr>
            <w:r/>
            <w:r>
              <w:rPr>
                <w:b/>
                <w:color w:val="16181D"/>
                <w:sz w:val="11"/>
              </w:rPr>
              <w:t>CODE + DATASET (neither verified). NOTE: this paper was earlier dismissed as arXiv-only; the peer-reviewed version exists and its title is corrected here.</w:t>
            </w:r>
          </w:p>
        </w:tc>
      </w:tr>
      <w:tr>
        <w:tc>
          <w:tcPr>
            <w:tcW w:type="dxa" w:w="1332"/>
          </w:tcPr>
          <w:p>
            <w:pPr>
              <w:spacing w:after="10" w:before="10"/>
            </w:pPr>
            <w:r/>
            <w:r>
              <w:rPr>
                <w:b/>
                <w:color w:val="16181D"/>
                <w:sz w:val="11"/>
              </w:rPr>
              <w:t>DeepAG — Li, Jiang &amp; Lin [METADATA]</w:t>
            </w:r>
          </w:p>
        </w:tc>
        <w:tc>
          <w:tcPr>
            <w:tcW w:type="dxa" w:w="1276"/>
          </w:tcPr>
          <w:p>
            <w:pPr>
              <w:spacing w:after="10" w:before="10"/>
            </w:pPr>
            <w:r/>
            <w:r>
              <w:rPr>
                <w:b w:val="0"/>
                <w:color w:val="16181D"/>
                <w:sz w:val="11"/>
              </w:rPr>
              <w:t>10.1109/tdsc.2022.3143551</w:t>
            </w:r>
          </w:p>
        </w:tc>
        <w:tc>
          <w:tcPr>
            <w:tcW w:type="dxa" w:w="1389"/>
          </w:tcPr>
          <w:p>
            <w:pPr>
              <w:spacing w:after="10" w:before="10"/>
            </w:pPr>
            <w:r/>
            <w:r>
              <w:rPr>
                <w:b w:val="0"/>
                <w:color w:val="16181D"/>
                <w:sz w:val="11"/>
              </w:rPr>
              <w:t>IEEE Trans. Dependable and Secure Computing 20, 740–757, 2023</w:t>
            </w:r>
          </w:p>
        </w:tc>
        <w:tc>
          <w:tcPr>
            <w:tcW w:type="dxa" w:w="765"/>
          </w:tcPr>
          <w:p>
            <w:pPr>
              <w:spacing w:after="10" w:before="10"/>
            </w:pPr>
            <w:r/>
            <w:r>
              <w:rPr>
                <w:b w:val="0"/>
                <w:color w:val="16181D"/>
                <w:sz w:val="11"/>
              </w:rPr>
              <w:t>check</w:t>
            </w:r>
          </w:p>
        </w:tc>
        <w:tc>
          <w:tcPr>
            <w:tcW w:type="dxa" w:w="1786"/>
          </w:tcPr>
          <w:p>
            <w:pPr>
              <w:spacing w:after="10" w:before="10"/>
            </w:pPr>
            <w:r/>
            <w:r>
              <w:rPr>
                <w:b w:val="0"/>
                <w:color w:val="16181D"/>
                <w:sz w:val="11"/>
              </w:rPr>
              <w:t>Bi-directional deep learning for attack-graph construction and threat prediction (per the title). Not read by me.</w:t>
            </w:r>
          </w:p>
        </w:tc>
        <w:tc>
          <w:tcPr>
            <w:tcW w:type="dxa" w:w="1729"/>
          </w:tcPr>
          <w:p>
            <w:pPr>
              <w:spacing w:after="10" w:before="10"/>
            </w:pPr>
            <w:r/>
            <w:r>
              <w:rPr>
                <w:b w:val="0"/>
                <w:color w:val="16181D"/>
                <w:sz w:val="11"/>
              </w:rPr>
              <w:t>Not verified.</w:t>
            </w:r>
          </w:p>
        </w:tc>
        <w:tc>
          <w:tcPr>
            <w:tcW w:type="dxa" w:w="1729"/>
          </w:tcPr>
          <w:p>
            <w:pPr>
              <w:spacing w:after="10" w:before="10"/>
            </w:pPr>
            <w:r/>
            <w:r>
              <w:rPr>
                <w:b w:val="0"/>
                <w:color w:val="16181D"/>
                <w:sz w:val="11"/>
              </w:rPr>
              <w:t>Not verified.</w:t>
            </w:r>
          </w:p>
        </w:tc>
        <w:tc>
          <w:tcPr>
            <w:tcW w:type="dxa" w:w="1276"/>
          </w:tcPr>
          <w:p>
            <w:pPr>
              <w:spacing w:after="10" w:before="10"/>
            </w:pPr>
            <w:r/>
            <w:r>
              <w:rPr>
                <w:b w:val="0"/>
                <w:color w:val="16181D"/>
                <w:sz w:val="11"/>
              </w:rPr>
              <w:t>Our next-technique and multi-label prediction metrics.</w:t>
            </w:r>
          </w:p>
        </w:tc>
        <w:tc>
          <w:tcPr>
            <w:tcW w:type="dxa" w:w="1332"/>
          </w:tcPr>
          <w:p>
            <w:pPr>
              <w:spacing w:after="10" w:before="10"/>
            </w:pPr>
            <w:r/>
            <w:r>
              <w:rPr>
                <w:b w:val="0"/>
                <w:color w:val="16181D"/>
                <w:sz w:val="11"/>
              </w:rPr>
              <w:t>MODERATE — sequence prediction over attack steps, but the steps are system-log tokens, not commands.</w:t>
            </w:r>
          </w:p>
        </w:tc>
        <w:tc>
          <w:tcPr>
            <w:tcW w:type="dxa" w:w="1276"/>
          </w:tcPr>
          <w:p>
            <w:pPr>
              <w:spacing w:after="10" w:before="10"/>
            </w:pPr>
            <w:r/>
            <w:r>
              <w:rPr>
                <w:b w:val="0"/>
                <w:color w:val="16181D"/>
                <w:sz w:val="11"/>
              </w:rPr>
              <w:t>PARTIAL — we would have to map CAM-LDS commands into their log-token space, and no vocabulary is published to map onto, so the mapping would be ours to invent and therefore not a clean comparison.</w:t>
            </w:r>
          </w:p>
        </w:tc>
        <w:tc>
          <w:tcPr>
            <w:tcW w:type="dxa" w:w="1106"/>
          </w:tcPr>
          <w:p>
            <w:pPr>
              <w:spacing w:after="10" w:before="10"/>
            </w:pPr>
            <w:r/>
            <w:r>
              <w:rPr>
                <w:b w:val="0"/>
                <w:color w:val="A4302B"/>
                <w:sz w:val="11"/>
              </w:rPr>
              <w:t>NO — not verified as released.</w:t>
            </w:r>
          </w:p>
        </w:tc>
        <w:tc>
          <w:tcPr>
            <w:tcW w:type="dxa" w:w="1502"/>
          </w:tcPr>
          <w:p>
            <w:pPr>
              <w:spacing w:after="10" w:before="10"/>
            </w:pPr>
            <w:r/>
            <w:r>
              <w:rPr>
                <w:b/>
                <w:color w:val="16181D"/>
                <w:sz w:val="11"/>
              </w:rPr>
              <w:t>CODE + DATASET (neither verified).</w:t>
            </w:r>
          </w:p>
        </w:tc>
      </w:tr>
      <w:tr>
        <w:tc>
          <w:tcPr>
            <w:tcW w:type="dxa" w:w="1502"/>
            <w:gridSpan w:val="12"/>
            <w:shd w:val="clear" w:fill="E8E4DC"/>
          </w:tcPr>
          <w:p>
            <w:pPr>
              <w:spacing w:after="10" w:before="10"/>
            </w:pPr>
            <w:r/>
            <w:r>
              <w:rPr>
                <w:b/>
                <w:color w:val="A4302B"/>
                <w:sz w:val="14"/>
              </w:rPr>
              <w:t>C. IDEA 02 ONLY — their data could reach our model; their model cannot take ours</w:t>
            </w:r>
          </w:p>
        </w:tc>
      </w:tr>
      <w:tr>
        <w:tc>
          <w:tcPr>
            <w:tcW w:type="dxa" w:w="1332"/>
          </w:tcPr>
          <w:p>
            <w:pPr>
              <w:spacing w:after="10" w:before="10"/>
            </w:pPr>
            <w:r/>
            <w:r>
              <w:rPr>
                <w:b/>
                <w:color w:val="16181D"/>
                <w:sz w:val="11"/>
              </w:rPr>
              <w:t>Q-Cowrie — Var Naseri, Welch &amp; Haseeb [PARTIAL]</w:t>
            </w:r>
          </w:p>
        </w:tc>
        <w:tc>
          <w:tcPr>
            <w:tcW w:type="dxa" w:w="1276"/>
          </w:tcPr>
          <w:p>
            <w:pPr>
              <w:spacing w:after="10" w:before="10"/>
            </w:pPr>
            <w:r/>
            <w:r>
              <w:rPr>
                <w:b w:val="0"/>
                <w:color w:val="16181D"/>
                <w:sz w:val="11"/>
              </w:rPr>
              <w:t>10.1007/s10207-026-01221-5</w:t>
            </w:r>
          </w:p>
        </w:tc>
        <w:tc>
          <w:tcPr>
            <w:tcW w:type="dxa" w:w="1389"/>
          </w:tcPr>
          <w:p>
            <w:pPr>
              <w:spacing w:after="10" w:before="10"/>
            </w:pPr>
            <w:r/>
            <w:r>
              <w:rPr>
                <w:b w:val="0"/>
                <w:color w:val="16181D"/>
                <w:sz w:val="11"/>
              </w:rPr>
              <w:t>International Journal of Information Security 25, 2026</w:t>
            </w:r>
          </w:p>
        </w:tc>
        <w:tc>
          <w:tcPr>
            <w:tcW w:type="dxa" w:w="765"/>
          </w:tcPr>
          <w:p>
            <w:pPr>
              <w:spacing w:after="10" w:before="10"/>
            </w:pPr>
            <w:r/>
            <w:r>
              <w:rPr>
                <w:b w:val="0"/>
                <w:color w:val="16181D"/>
                <w:sz w:val="11"/>
              </w:rPr>
              <w:t>Q1 (2025, confirmed)</w:t>
            </w:r>
          </w:p>
        </w:tc>
        <w:tc>
          <w:tcPr>
            <w:tcW w:type="dxa" w:w="1786"/>
          </w:tcPr>
          <w:p>
            <w:pPr>
              <w:spacing w:after="10" w:before="10"/>
            </w:pPr>
            <w:r/>
            <w:r>
              <w:rPr>
                <w:b w:val="0"/>
                <w:color w:val="16181D"/>
                <w:sz w:val="11"/>
              </w:rPr>
              <w:t>Q-learning over an MDP selecting Cowrie responses. Single agent, no placement, no zones.</w:t>
            </w:r>
          </w:p>
        </w:tc>
        <w:tc>
          <w:tcPr>
            <w:tcW w:type="dxa" w:w="1729"/>
          </w:tcPr>
          <w:p>
            <w:pPr>
              <w:spacing w:after="10" w:before="10"/>
            </w:pPr>
            <w:r/>
            <w:r>
              <w:rPr>
                <w:b w:val="0"/>
                <w:color w:val="16181D"/>
                <w:sz w:val="11"/>
              </w:rPr>
              <w:t>More than 400,000 Cowrie sessions. NOT RELEASED — obtainable by email only; request already drafted.</w:t>
            </w:r>
          </w:p>
        </w:tc>
        <w:tc>
          <w:tcPr>
            <w:tcW w:type="dxa" w:w="1729"/>
          </w:tcPr>
          <w:p>
            <w:pPr>
              <w:spacing w:after="10" w:before="10"/>
            </w:pPr>
            <w:r/>
            <w:r>
              <w:rPr>
                <w:b w:val="0"/>
                <w:color w:val="16181D"/>
                <w:sz w:val="11"/>
              </w:rPr>
              <w:t>Attacker engagement and session-length style measures. Numeric values not verified by me.</w:t>
            </w:r>
          </w:p>
        </w:tc>
        <w:tc>
          <w:tcPr>
            <w:tcW w:type="dxa" w:w="1276"/>
          </w:tcPr>
          <w:p>
            <w:pPr>
              <w:spacing w:after="10" w:before="10"/>
            </w:pPr>
            <w:r/>
            <w:r>
              <w:rPr>
                <w:b w:val="0"/>
                <w:color w:val="16181D"/>
                <w:sz w:val="11"/>
              </w:rPr>
              <w:t>Our dwell = commands per engaged session.</w:t>
            </w:r>
          </w:p>
        </w:tc>
        <w:tc>
          <w:tcPr>
            <w:tcW w:type="dxa" w:w="1332"/>
          </w:tcPr>
          <w:p>
            <w:pPr>
              <w:spacing w:after="10" w:before="10"/>
            </w:pPr>
            <w:r/>
            <w:r>
              <w:rPr>
                <w:b w:val="0"/>
                <w:color w:val="16181D"/>
                <w:sz w:val="11"/>
              </w:rPr>
              <w:t>MODERATE — adaptive honeypot response selection, but single-agent and with no spatial structure.</w:t>
            </w:r>
          </w:p>
        </w:tc>
        <w:tc>
          <w:tcPr>
            <w:tcW w:type="dxa" w:w="1276"/>
          </w:tcPr>
          <w:p>
            <w:pPr>
              <w:spacing w:after="10" w:before="10"/>
            </w:pPr>
            <w:r/>
            <w:r>
              <w:rPr>
                <w:b w:val="0"/>
                <w:color w:val="A4302B"/>
                <w:sz w:val="11"/>
              </w:rPr>
              <w:t>NO — their state is a Cowrie session context, not an ATT&amp;CK technique history, so CAM-LDS has no entry point.</w:t>
            </w:r>
          </w:p>
        </w:tc>
        <w:tc>
          <w:tcPr>
            <w:tcW w:type="dxa" w:w="1106"/>
          </w:tcPr>
          <w:p>
            <w:pPr>
              <w:spacing w:after="10" w:before="10"/>
            </w:pPr>
            <w:r/>
            <w:r>
              <w:rPr>
                <w:b w:val="0"/>
                <w:color w:val="16181D"/>
                <w:sz w:val="11"/>
              </w:rPr>
              <w:t>PARTIAL, conditional on the email — 400k real sessions would dwarf CAM-LDS, but ATT&amp;CK labels are not stated anywhere and there are still no zones or declared goal.</w:t>
            </w:r>
          </w:p>
        </w:tc>
        <w:tc>
          <w:tcPr>
            <w:tcW w:type="dxa" w:w="1502"/>
          </w:tcPr>
          <w:p>
            <w:pPr>
              <w:spacing w:after="10" w:before="10"/>
            </w:pPr>
            <w:r/>
            <w:r>
              <w:rPr>
                <w:b/>
                <w:color w:val="16181D"/>
                <w:sz w:val="11"/>
              </w:rPr>
              <w:t>DATASET (by email) + CODE.</w:t>
            </w:r>
          </w:p>
        </w:tc>
      </w:tr>
      <w:tr>
        <w:tc>
          <w:tcPr>
            <w:tcW w:type="dxa" w:w="1502"/>
            <w:gridSpan w:val="12"/>
            <w:shd w:val="clear" w:fill="E8E4DC"/>
          </w:tcPr>
          <w:p>
            <w:pPr>
              <w:spacing w:after="10" w:before="10"/>
            </w:pPr>
            <w:r/>
            <w:r>
              <w:rPr>
                <w:b/>
                <w:color w:val="A4302B"/>
                <w:sz w:val="14"/>
              </w:rPr>
              <w:t>D. CHECKED AND REJECTED — recorded so the search is not repeated</w:t>
            </w:r>
          </w:p>
        </w:tc>
      </w:tr>
      <w:tr>
        <w:tc>
          <w:tcPr>
            <w:tcW w:type="dxa" w:w="1332"/>
          </w:tcPr>
          <w:p>
            <w:pPr>
              <w:spacing w:after="10" w:before="10"/>
            </w:pPr>
            <w:r/>
            <w:r>
              <w:rPr>
                <w:b/>
                <w:color w:val="16181D"/>
                <w:sz w:val="11"/>
              </w:rPr>
              <w:t>Wang, Yi &amp; Jiang [METADATA]</w:t>
            </w:r>
          </w:p>
        </w:tc>
        <w:tc>
          <w:tcPr>
            <w:tcW w:type="dxa" w:w="1276"/>
          </w:tcPr>
          <w:p>
            <w:pPr>
              <w:spacing w:after="10" w:before="10"/>
            </w:pPr>
            <w:r/>
            <w:r>
              <w:rPr>
                <w:b w:val="0"/>
                <w:color w:val="16181D"/>
                <w:sz w:val="11"/>
              </w:rPr>
              <w:t>10.1016/j.cose.2023.103533</w:t>
            </w:r>
          </w:p>
        </w:tc>
        <w:tc>
          <w:tcPr>
            <w:tcW w:type="dxa" w:w="1389"/>
          </w:tcPr>
          <w:p>
            <w:pPr>
              <w:spacing w:after="10" w:before="10"/>
            </w:pPr>
            <w:r/>
            <w:r>
              <w:rPr>
                <w:b w:val="0"/>
                <w:color w:val="16181D"/>
                <w:sz w:val="11"/>
              </w:rPr>
              <w:t>Computers &amp; Security 136, 103533, 2024</w:t>
            </w:r>
          </w:p>
        </w:tc>
        <w:tc>
          <w:tcPr>
            <w:tcW w:type="dxa" w:w="765"/>
          </w:tcPr>
          <w:p>
            <w:pPr>
              <w:spacing w:after="10" w:before="10"/>
            </w:pPr>
            <w:r/>
            <w:r>
              <w:rPr>
                <w:b w:val="0"/>
                <w:color w:val="16181D"/>
                <w:sz w:val="11"/>
              </w:rPr>
              <w:t>check</w:t>
            </w:r>
          </w:p>
        </w:tc>
        <w:tc>
          <w:tcPr>
            <w:tcW w:type="dxa" w:w="1786"/>
          </w:tcPr>
          <w:p>
            <w:pPr>
              <w:spacing w:after="10" w:before="10"/>
            </w:pPr>
            <w:r/>
            <w:r>
              <w:rPr>
                <w:b w:val="0"/>
                <w:color w:val="16181D"/>
                <w:sz w:val="11"/>
              </w:rPr>
              <w:t>Transformer framework for alert aggregation and multi-stage attack prediction.</w:t>
            </w:r>
          </w:p>
        </w:tc>
        <w:tc>
          <w:tcPr>
            <w:tcW w:type="dxa" w:w="1729"/>
          </w:tcPr>
          <w:p>
            <w:pPr>
              <w:spacing w:after="10" w:before="10"/>
            </w:pPr>
            <w:r/>
            <w:r>
              <w:rPr>
                <w:b w:val="0"/>
                <w:color w:val="16181D"/>
                <w:sz w:val="11"/>
              </w:rPr>
              <w:t>IDS alert streams. Not verified.</w:t>
            </w:r>
          </w:p>
        </w:tc>
        <w:tc>
          <w:tcPr>
            <w:tcW w:type="dxa" w:w="1729"/>
          </w:tcPr>
          <w:p>
            <w:pPr>
              <w:spacing w:after="10" w:before="10"/>
            </w:pPr>
            <w:r/>
            <w:r>
              <w:rPr>
                <w:b w:val="0"/>
                <w:color w:val="16181D"/>
                <w:sz w:val="11"/>
              </w:rPr>
              <w:t>Not verified.</w:t>
            </w:r>
          </w:p>
        </w:tc>
        <w:tc>
          <w:tcPr>
            <w:tcW w:type="dxa" w:w="1276"/>
          </w:tcPr>
          <w:p>
            <w:pPr>
              <w:spacing w:after="10" w:before="10"/>
            </w:pPr>
            <w:r/>
            <w:r>
              <w:rPr>
                <w:b w:val="0"/>
                <w:color w:val="16181D"/>
                <w:sz w:val="11"/>
              </w:rPr>
              <w:t>None — attack stages are not ATT&amp;CK techniques.</w:t>
            </w:r>
          </w:p>
        </w:tc>
        <w:tc>
          <w:tcPr>
            <w:tcW w:type="dxa" w:w="1332"/>
          </w:tcPr>
          <w:p>
            <w:pPr>
              <w:spacing w:after="10" w:before="10"/>
            </w:pPr>
            <w:r/>
            <w:r>
              <w:rPr>
                <w:b w:val="0"/>
                <w:color w:val="16181D"/>
                <w:sz w:val="11"/>
              </w:rPr>
              <w:t>NO — the atomic input unit is an IDS alert, not an attacker command.</w:t>
            </w:r>
          </w:p>
        </w:tc>
        <w:tc>
          <w:tcPr>
            <w:tcW w:type="dxa" w:w="1276"/>
          </w:tcPr>
          <w:p>
            <w:pPr>
              <w:spacing w:after="10" w:before="10"/>
            </w:pPr>
            <w:r/>
            <w:r>
              <w:rPr>
                <w:b w:val="0"/>
                <w:color w:val="A4302B"/>
                <w:sz w:val="11"/>
              </w:rPr>
              <w:t>NO — CAM-LDS has no alert fields (signature id, severity, source/destination) and inventing them would fabricate the very signal the model reads.</w:t>
            </w:r>
          </w:p>
        </w:tc>
        <w:tc>
          <w:tcPr>
            <w:tcW w:type="dxa" w:w="1106"/>
          </w:tcPr>
          <w:p>
            <w:pPr>
              <w:spacing w:after="10" w:before="10"/>
            </w:pPr>
            <w:r/>
            <w:r>
              <w:rPr>
                <w:b w:val="0"/>
                <w:color w:val="A4302B"/>
                <w:sz w:val="11"/>
              </w:rPr>
              <w:t>NO — not released.</w:t>
            </w:r>
          </w:p>
        </w:tc>
        <w:tc>
          <w:tcPr>
            <w:tcW w:type="dxa" w:w="1502"/>
          </w:tcPr>
          <w:p>
            <w:pPr>
              <w:spacing w:after="10" w:before="10"/>
            </w:pPr>
            <w:r/>
            <w:r>
              <w:rPr>
                <w:b/>
                <w:color w:val="16181D"/>
                <w:sz w:val="11"/>
              </w:rPr>
              <w:t>CODE + DATASET.</w:t>
            </w:r>
          </w:p>
        </w:tc>
      </w:tr>
      <w:tr>
        <w:tc>
          <w:tcPr>
            <w:tcW w:type="dxa" w:w="1332"/>
          </w:tcPr>
          <w:p>
            <w:pPr>
              <w:spacing w:after="10" w:before="10"/>
            </w:pPr>
            <w:r/>
            <w:r>
              <w:rPr>
                <w:b/>
                <w:color w:val="16181D"/>
                <w:sz w:val="11"/>
              </w:rPr>
              <w:t>ASTR — Ma, Hou &amp; Sui [METADATA]</w:t>
            </w:r>
          </w:p>
        </w:tc>
        <w:tc>
          <w:tcPr>
            <w:tcW w:type="dxa" w:w="1276"/>
          </w:tcPr>
          <w:p>
            <w:pPr>
              <w:spacing w:after="10" w:before="10"/>
            </w:pPr>
            <w:r/>
            <w:r>
              <w:rPr>
                <w:b w:val="0"/>
                <w:color w:val="16181D"/>
                <w:sz w:val="11"/>
              </w:rPr>
              <w:t>10.1016/j.neucom.2025.130016</w:t>
            </w:r>
          </w:p>
        </w:tc>
        <w:tc>
          <w:tcPr>
            <w:tcW w:type="dxa" w:w="1389"/>
          </w:tcPr>
          <w:p>
            <w:pPr>
              <w:spacing w:after="10" w:before="10"/>
            </w:pPr>
            <w:r/>
            <w:r>
              <w:rPr>
                <w:b w:val="0"/>
                <w:color w:val="16181D"/>
                <w:sz w:val="11"/>
              </w:rPr>
              <w:t>Neurocomputing 635, 130016, 2025</w:t>
            </w:r>
          </w:p>
        </w:tc>
        <w:tc>
          <w:tcPr>
            <w:tcW w:type="dxa" w:w="765"/>
          </w:tcPr>
          <w:p>
            <w:pPr>
              <w:spacing w:after="10" w:before="10"/>
            </w:pPr>
            <w:r/>
            <w:r>
              <w:rPr>
                <w:b w:val="0"/>
                <w:color w:val="16181D"/>
                <w:sz w:val="11"/>
              </w:rPr>
              <w:t>check</w:t>
            </w:r>
          </w:p>
        </w:tc>
        <w:tc>
          <w:tcPr>
            <w:tcW w:type="dxa" w:w="1786"/>
          </w:tcPr>
          <w:p>
            <w:pPr>
              <w:spacing w:after="10" w:before="10"/>
            </w:pPr>
            <w:r/>
            <w:r>
              <w:rPr>
                <w:b w:val="0"/>
                <w:color w:val="16181D"/>
                <w:sz w:val="11"/>
              </w:rPr>
              <w:t>Transformer-based alert-to-stage translator for multi-stage attack detection.</w:t>
            </w:r>
          </w:p>
        </w:tc>
        <w:tc>
          <w:tcPr>
            <w:tcW w:type="dxa" w:w="1729"/>
          </w:tcPr>
          <w:p>
            <w:pPr>
              <w:spacing w:after="10" w:before="10"/>
            </w:pPr>
            <w:r/>
            <w:r>
              <w:rPr>
                <w:b w:val="0"/>
                <w:color w:val="16181D"/>
                <w:sz w:val="11"/>
              </w:rPr>
              <w:t>Alert datasets. Not verified.</w:t>
            </w:r>
          </w:p>
        </w:tc>
        <w:tc>
          <w:tcPr>
            <w:tcW w:type="dxa" w:w="1729"/>
          </w:tcPr>
          <w:p>
            <w:pPr>
              <w:spacing w:after="10" w:before="10"/>
            </w:pPr>
            <w:r/>
            <w:r>
              <w:rPr>
                <w:b w:val="0"/>
                <w:color w:val="16181D"/>
                <w:sz w:val="11"/>
              </w:rPr>
              <w:t>Not verified.</w:t>
            </w:r>
          </w:p>
        </w:tc>
        <w:tc>
          <w:tcPr>
            <w:tcW w:type="dxa" w:w="1276"/>
          </w:tcPr>
          <w:p>
            <w:pPr>
              <w:spacing w:after="10" w:before="10"/>
            </w:pPr>
            <w:r/>
            <w:r>
              <w:rPr>
                <w:b w:val="0"/>
                <w:color w:val="16181D"/>
                <w:sz w:val="11"/>
              </w:rPr>
              <w:t>None.</w:t>
            </w:r>
          </w:p>
        </w:tc>
        <w:tc>
          <w:tcPr>
            <w:tcW w:type="dxa" w:w="1332"/>
          </w:tcPr>
          <w:p>
            <w:pPr>
              <w:spacing w:after="10" w:before="10"/>
            </w:pPr>
            <w:r/>
            <w:r>
              <w:rPr>
                <w:b w:val="0"/>
                <w:color w:val="16181D"/>
                <w:sz w:val="11"/>
              </w:rPr>
              <w:t>NO — the same alert-granularity mismatch as the row above.</w:t>
            </w:r>
          </w:p>
        </w:tc>
        <w:tc>
          <w:tcPr>
            <w:tcW w:type="dxa" w:w="1276"/>
          </w:tcPr>
          <w:p>
            <w:pPr>
              <w:spacing w:after="10" w:before="10"/>
            </w:pPr>
            <w:r/>
            <w:r>
              <w:rPr>
                <w:b w:val="0"/>
                <w:color w:val="A4302B"/>
                <w:sz w:val="11"/>
              </w:rPr>
              <w:t>NO — same reason.</w:t>
            </w:r>
          </w:p>
        </w:tc>
        <w:tc>
          <w:tcPr>
            <w:tcW w:type="dxa" w:w="1106"/>
          </w:tcPr>
          <w:p>
            <w:pPr>
              <w:spacing w:after="10" w:before="10"/>
            </w:pPr>
            <w:r/>
            <w:r>
              <w:rPr>
                <w:b w:val="0"/>
                <w:color w:val="A4302B"/>
                <w:sz w:val="11"/>
              </w:rPr>
              <w:t>NO — not released.</w:t>
            </w:r>
          </w:p>
        </w:tc>
        <w:tc>
          <w:tcPr>
            <w:tcW w:type="dxa" w:w="1502"/>
          </w:tcPr>
          <w:p>
            <w:pPr>
              <w:spacing w:after="10" w:before="10"/>
            </w:pPr>
            <w:r/>
            <w:r>
              <w:rPr>
                <w:b/>
                <w:color w:val="16181D"/>
                <w:sz w:val="11"/>
              </w:rPr>
              <w:t>CODE + DATASET.</w:t>
            </w:r>
          </w:p>
        </w:tc>
      </w:tr>
      <w:tr>
        <w:tc>
          <w:tcPr>
            <w:tcW w:type="dxa" w:w="1332"/>
          </w:tcPr>
          <w:p>
            <w:pPr>
              <w:spacing w:after="10" w:before="10"/>
            </w:pPr>
            <w:r/>
            <w:r>
              <w:rPr>
                <w:b/>
                <w:color w:val="16181D"/>
                <w:sz w:val="11"/>
              </w:rPr>
              <w:t>Polatidis, Pimenidis &amp; Pavlidis et al. [METADATA]</w:t>
            </w:r>
          </w:p>
        </w:tc>
        <w:tc>
          <w:tcPr>
            <w:tcW w:type="dxa" w:w="1276"/>
          </w:tcPr>
          <w:p>
            <w:pPr>
              <w:spacing w:after="10" w:before="10"/>
            </w:pPr>
            <w:r/>
            <w:r>
              <w:rPr>
                <w:b w:val="0"/>
                <w:color w:val="16181D"/>
                <w:sz w:val="11"/>
              </w:rPr>
              <w:t>10.1007/s12530-018-9234-z</w:t>
            </w:r>
          </w:p>
        </w:tc>
        <w:tc>
          <w:tcPr>
            <w:tcW w:type="dxa" w:w="1389"/>
          </w:tcPr>
          <w:p>
            <w:pPr>
              <w:spacing w:after="10" w:before="10"/>
            </w:pPr>
            <w:r/>
            <w:r>
              <w:rPr>
                <w:b w:val="0"/>
                <w:color w:val="16181D"/>
                <w:sz w:val="11"/>
              </w:rPr>
              <w:t>Evolving Systems 11, 479–490, 2018</w:t>
            </w:r>
          </w:p>
        </w:tc>
        <w:tc>
          <w:tcPr>
            <w:tcW w:type="dxa" w:w="765"/>
          </w:tcPr>
          <w:p>
            <w:pPr>
              <w:spacing w:after="10" w:before="10"/>
            </w:pPr>
            <w:r/>
            <w:r>
              <w:rPr>
                <w:b w:val="0"/>
                <w:color w:val="16181D"/>
                <w:sz w:val="11"/>
              </w:rPr>
              <w:t>check</w:t>
            </w:r>
          </w:p>
        </w:tc>
        <w:tc>
          <w:tcPr>
            <w:tcW w:type="dxa" w:w="1786"/>
          </w:tcPr>
          <w:p>
            <w:pPr>
              <w:spacing w:after="10" w:before="10"/>
            </w:pPr>
            <w:r/>
            <w:r>
              <w:rPr>
                <w:b w:val="0"/>
                <w:color w:val="16181D"/>
                <w:sz w:val="11"/>
              </w:rPr>
              <w:t>Collaborative filtering over an attack graph built from CVE, CWE and maritime supply-chain infrastructure data.</w:t>
            </w:r>
          </w:p>
        </w:tc>
        <w:tc>
          <w:tcPr>
            <w:tcW w:type="dxa" w:w="1729"/>
          </w:tcPr>
          <w:p>
            <w:pPr>
              <w:spacing w:after="10" w:before="10"/>
            </w:pPr>
            <w:r/>
            <w:r>
              <w:rPr>
                <w:b w:val="0"/>
                <w:color w:val="16181D"/>
                <w:sz w:val="11"/>
              </w:rPr>
              <w:t>CVE / CWE plus a maritime infrastructure model. Not verified as released.</w:t>
            </w:r>
          </w:p>
        </w:tc>
        <w:tc>
          <w:tcPr>
            <w:tcW w:type="dxa" w:w="1729"/>
          </w:tcPr>
          <w:p>
            <w:pPr>
              <w:spacing w:after="10" w:before="10"/>
            </w:pPr>
            <w:r/>
            <w:r>
              <w:rPr>
                <w:b w:val="0"/>
                <w:color w:val="16181D"/>
                <w:sz w:val="11"/>
              </w:rPr>
              <w:t>Not verified.</w:t>
            </w:r>
          </w:p>
        </w:tc>
        <w:tc>
          <w:tcPr>
            <w:tcW w:type="dxa" w:w="1276"/>
          </w:tcPr>
          <w:p>
            <w:pPr>
              <w:spacing w:after="10" w:before="10"/>
            </w:pPr>
            <w:r/>
            <w:r>
              <w:rPr>
                <w:b w:val="0"/>
                <w:color w:val="16181D"/>
                <w:sz w:val="11"/>
              </w:rPr>
              <w:t>None — their recommended items are vulnerabilities; ours are techniques.</w:t>
            </w:r>
          </w:p>
        </w:tc>
        <w:tc>
          <w:tcPr>
            <w:tcW w:type="dxa" w:w="1332"/>
          </w:tcPr>
          <w:p>
            <w:pPr>
              <w:spacing w:after="10" w:before="10"/>
            </w:pPr>
            <w:r/>
            <w:r>
              <w:rPr>
                <w:b w:val="0"/>
                <w:color w:val="16181D"/>
                <w:sz w:val="11"/>
              </w:rPr>
              <w:t>NO — the recommender operates over CVEs, not over ATT&amp;CK techniques.</w:t>
            </w:r>
          </w:p>
        </w:tc>
        <w:tc>
          <w:tcPr>
            <w:tcW w:type="dxa" w:w="1276"/>
          </w:tcPr>
          <w:p>
            <w:pPr>
              <w:spacing w:after="10" w:before="10"/>
            </w:pPr>
            <w:r/>
            <w:r>
              <w:rPr>
                <w:b w:val="0"/>
                <w:color w:val="A4302B"/>
                <w:sz w:val="11"/>
              </w:rPr>
              <w:t>NO — CAM-LDS carries no CVE identifiers, so there is nothing to recommend over.</w:t>
            </w:r>
          </w:p>
        </w:tc>
        <w:tc>
          <w:tcPr>
            <w:tcW w:type="dxa" w:w="1106"/>
          </w:tcPr>
          <w:p>
            <w:pPr>
              <w:spacing w:after="10" w:before="10"/>
            </w:pPr>
            <w:r/>
            <w:r>
              <w:rPr>
                <w:b w:val="0"/>
                <w:color w:val="A4302B"/>
                <w:sz w:val="11"/>
              </w:rPr>
              <w:t>NO — not released.</w:t>
            </w:r>
          </w:p>
        </w:tc>
        <w:tc>
          <w:tcPr>
            <w:tcW w:type="dxa" w:w="1502"/>
          </w:tcPr>
          <w:p>
            <w:pPr>
              <w:spacing w:after="10" w:before="10"/>
            </w:pPr>
            <w:r/>
            <w:r>
              <w:rPr>
                <w:b/>
                <w:color w:val="16181D"/>
                <w:sz w:val="11"/>
              </w:rPr>
              <w:t>CODE + DATASET. Included because it is the methodological ancestor of the Kuwano line, which is where the usable comparison actually lives.</w:t>
            </w:r>
          </w:p>
        </w:tc>
      </w:tr>
      <w:tr>
        <w:tc>
          <w:tcPr>
            <w:tcW w:type="dxa" w:w="1332"/>
          </w:tcPr>
          <w:p>
            <w:pPr>
              <w:spacing w:after="10" w:before="10"/>
            </w:pPr>
            <w:r/>
            <w:r>
              <w:rPr>
                <w:b/>
                <w:color w:val="16181D"/>
                <w:sz w:val="11"/>
              </w:rPr>
              <w:t>Boiko &amp; Niiakyi [PARTIAL]</w:t>
            </w:r>
          </w:p>
        </w:tc>
        <w:tc>
          <w:tcPr>
            <w:tcW w:type="dxa" w:w="1276"/>
          </w:tcPr>
          <w:p>
            <w:pPr>
              <w:spacing w:after="10" w:before="10"/>
            </w:pPr>
            <w:r/>
            <w:r>
              <w:rPr>
                <w:b w:val="0"/>
                <w:color w:val="16181D"/>
                <w:sz w:val="11"/>
              </w:rPr>
              <w:t>10.1016/j.dib.2026.112860</w:t>
            </w:r>
          </w:p>
        </w:tc>
        <w:tc>
          <w:tcPr>
            <w:tcW w:type="dxa" w:w="1389"/>
          </w:tcPr>
          <w:p>
            <w:pPr>
              <w:spacing w:after="10" w:before="10"/>
            </w:pPr>
            <w:r/>
            <w:r>
              <w:rPr>
                <w:b w:val="0"/>
                <w:color w:val="16181D"/>
                <w:sz w:val="11"/>
              </w:rPr>
              <w:t>Data in Brief 66, 112860, 2026</w:t>
            </w:r>
          </w:p>
        </w:tc>
        <w:tc>
          <w:tcPr>
            <w:tcW w:type="dxa" w:w="765"/>
          </w:tcPr>
          <w:p>
            <w:pPr>
              <w:spacing w:after="10" w:before="10"/>
            </w:pPr>
            <w:r/>
            <w:r>
              <w:rPr>
                <w:b w:val="0"/>
                <w:color w:val="16181D"/>
                <w:sz w:val="11"/>
              </w:rPr>
              <w:t>check</w:t>
            </w:r>
          </w:p>
        </w:tc>
        <w:tc>
          <w:tcPr>
            <w:tcW w:type="dxa" w:w="1786"/>
          </w:tcPr>
          <w:p>
            <w:pPr>
              <w:spacing w:after="10" w:before="10"/>
            </w:pPr>
            <w:r/>
            <w:r>
              <w:rPr>
                <w:b w:val="0"/>
                <w:color w:val="16181D"/>
                <w:sz w:val="11"/>
              </w:rPr>
              <w:t>None — a data paper, no model.</w:t>
            </w:r>
          </w:p>
        </w:tc>
        <w:tc>
          <w:tcPr>
            <w:tcW w:type="dxa" w:w="1729"/>
          </w:tcPr>
          <w:p>
            <w:pPr>
              <w:spacing w:after="10" w:before="10"/>
            </w:pPr>
            <w:r/>
            <w:r>
              <w:rPr>
                <w:b w:val="0"/>
                <w:color w:val="16181D"/>
                <w:sz w:val="11"/>
              </w:rPr>
              <w:t>PUBLIC: Zenodo 10.5281/zenodo.19629700, CC BY. 145,425 security events, but only 28 interactive command executions and 4,797 authentication events.</w:t>
            </w:r>
          </w:p>
        </w:tc>
        <w:tc>
          <w:tcPr>
            <w:tcW w:type="dxa" w:w="1729"/>
          </w:tcPr>
          <w:p>
            <w:pPr>
              <w:spacing w:after="10" w:before="10"/>
            </w:pPr>
            <w:r/>
            <w:r>
              <w:rPr>
                <w:b w:val="0"/>
                <w:color w:val="16181D"/>
                <w:sz w:val="11"/>
              </w:rPr>
              <w:t>Descriptive only.</w:t>
            </w:r>
          </w:p>
        </w:tc>
        <w:tc>
          <w:tcPr>
            <w:tcW w:type="dxa" w:w="1276"/>
          </w:tcPr>
          <w:p>
            <w:pPr>
              <w:spacing w:after="10" w:before="10"/>
            </w:pPr>
            <w:r/>
            <w:r>
              <w:rPr>
                <w:b w:val="0"/>
                <w:color w:val="16181D"/>
                <w:sz w:val="11"/>
              </w:rPr>
              <w:t>None.</w:t>
            </w:r>
          </w:p>
        </w:tc>
        <w:tc>
          <w:tcPr>
            <w:tcW w:type="dxa" w:w="1332"/>
          </w:tcPr>
          <w:p>
            <w:pPr>
              <w:spacing w:after="10" w:before="10"/>
            </w:pPr>
            <w:r/>
            <w:r>
              <w:rPr>
                <w:b w:val="0"/>
                <w:color w:val="16181D"/>
                <w:sz w:val="11"/>
              </w:rPr>
              <w:t>NO.</w:t>
            </w:r>
          </w:p>
        </w:tc>
        <w:tc>
          <w:tcPr>
            <w:tcW w:type="dxa" w:w="1276"/>
          </w:tcPr>
          <w:p>
            <w:pPr>
              <w:spacing w:after="10" w:before="10"/>
            </w:pPr>
            <w:r/>
            <w:r>
              <w:rPr>
                <w:b w:val="0"/>
                <w:color w:val="16181D"/>
                <w:sz w:val="11"/>
              </w:rPr>
              <w:t>N/A — no model.</w:t>
            </w:r>
          </w:p>
        </w:tc>
        <w:tc>
          <w:tcPr>
            <w:tcW w:type="dxa" w:w="1106"/>
          </w:tcPr>
          <w:p>
            <w:pPr>
              <w:spacing w:after="10" w:before="10"/>
            </w:pPr>
            <w:r/>
            <w:r>
              <w:rPr>
                <w:b w:val="0"/>
                <w:color w:val="A4302B"/>
                <w:sz w:val="11"/>
              </w:rPr>
              <w:t>NO — 28 interactive commands is three orders of magnitude too small, and there are no ATT&amp;CK labels. The corpus is scanner and login noise, not attacker behaviour.</w:t>
            </w:r>
          </w:p>
        </w:tc>
        <w:tc>
          <w:tcPr>
            <w:tcW w:type="dxa" w:w="1502"/>
          </w:tcPr>
          <w:p>
            <w:pPr>
              <w:spacing w:after="10" w:before="10"/>
            </w:pPr>
            <w:r/>
            <w:r>
              <w:rPr>
                <w:b/>
                <w:color w:val="1F6F4A"/>
                <w:sz w:val="11"/>
              </w:rPr>
              <w:t>NOTHING MISSING — but the data is unusable for our task. Recorded so it is not revisited.</w:t>
            </w:r>
          </w:p>
        </w:tc>
      </w:tr>
      <w:tr>
        <w:tc>
          <w:tcPr>
            <w:tcW w:type="dxa" w:w="1332"/>
          </w:tcPr>
          <w:p>
            <w:pPr>
              <w:spacing w:after="10" w:before="10"/>
            </w:pPr>
            <w:r/>
            <w:r>
              <w:rPr>
                <w:b/>
                <w:color w:val="16181D"/>
                <w:sz w:val="11"/>
              </w:rPr>
              <w:t>Niloy, Ryan, Rafi et al. [PARTIAL — PREPRINT, NOT A JOURNAL]</w:t>
            </w:r>
          </w:p>
        </w:tc>
        <w:tc>
          <w:tcPr>
            <w:tcW w:type="dxa" w:w="1276"/>
          </w:tcPr>
          <w:p>
            <w:pPr>
              <w:spacing w:after="10" w:before="10"/>
            </w:pPr>
            <w:r/>
            <w:r>
              <w:rPr>
                <w:b w:val="0"/>
                <w:color w:val="16181D"/>
                <w:sz w:val="11"/>
              </w:rPr>
              <w:t>arXiv 2606.18190 — no DOI</w:t>
            </w:r>
          </w:p>
        </w:tc>
        <w:tc>
          <w:tcPr>
            <w:tcW w:type="dxa" w:w="1389"/>
          </w:tcPr>
          <w:p>
            <w:pPr>
              <w:spacing w:after="10" w:before="10"/>
            </w:pPr>
            <w:r/>
            <w:r>
              <w:rPr>
                <w:b w:val="0"/>
                <w:color w:val="16181D"/>
                <w:sz w:val="11"/>
              </w:rPr>
              <w:t>arXiv preprint, 2026 — NOT journal-published</w:t>
            </w:r>
          </w:p>
        </w:tc>
        <w:tc>
          <w:tcPr>
            <w:tcW w:type="dxa" w:w="765"/>
          </w:tcPr>
          <w:p>
            <w:pPr>
              <w:spacing w:after="10" w:before="10"/>
            </w:pPr>
            <w:r/>
            <w:r>
              <w:rPr>
                <w:b w:val="0"/>
                <w:color w:val="16181D"/>
                <w:sz w:val="11"/>
              </w:rPr>
              <w:t>n/a</w:t>
            </w:r>
          </w:p>
        </w:tc>
        <w:tc>
          <w:tcPr>
            <w:tcW w:type="dxa" w:w="1786"/>
          </w:tcPr>
          <w:p>
            <w:pPr>
              <w:spacing w:after="10" w:before="10"/>
            </w:pPr>
            <w:r/>
            <w:r>
              <w:rPr>
                <w:b w:val="0"/>
                <w:color w:val="16181D"/>
                <w:sz w:val="11"/>
              </w:rPr>
              <w:t>Three small language models fine-tuned with LoRA for ATT&amp;CK technique identification.</w:t>
            </w:r>
          </w:p>
        </w:tc>
        <w:tc>
          <w:tcPr>
            <w:tcW w:type="dxa" w:w="1729"/>
          </w:tcPr>
          <w:p>
            <w:pPr>
              <w:spacing w:after="10" w:before="10"/>
            </w:pPr>
            <w:r/>
            <w:r>
              <w:rPr>
                <w:b w:val="0"/>
                <w:color w:val="16181D"/>
                <w:sz w:val="11"/>
              </w:rPr>
              <w:t>870 sessions (70 attack, 800 benign), approx. 2.3M events, PER-EVENT ATT&amp;CK technique labels, 53 techniques across 12 tactics. Public release NOT STATED on the abstract page.</w:t>
            </w:r>
          </w:p>
        </w:tc>
        <w:tc>
          <w:tcPr>
            <w:tcW w:type="dxa" w:w="1729"/>
          </w:tcPr>
          <w:p>
            <w:pPr>
              <w:spacing w:after="10" w:before="10"/>
            </w:pPr>
            <w:r/>
            <w:r>
              <w:rPr>
                <w:b w:val="0"/>
                <w:color w:val="16181D"/>
                <w:sz w:val="11"/>
              </w:rPr>
              <w:t>Chunk classification accuracy approx. 8% → 90–97% after fine-tuning; exact-match technique identification peaks at 42%.</w:t>
            </w:r>
          </w:p>
        </w:tc>
        <w:tc>
          <w:tcPr>
            <w:tcW w:type="dxa" w:w="1276"/>
          </w:tcPr>
          <w:p>
            <w:pPr>
              <w:spacing w:after="10" w:before="10"/>
            </w:pPr>
            <w:r/>
            <w:r>
              <w:rPr>
                <w:b w:val="0"/>
                <w:color w:val="16181D"/>
                <w:sz w:val="11"/>
              </w:rPr>
              <w:t>Our exact-set accuracy is the direct analogue of their exact-match technique identification — the only external paper found that reports our hardest metric.</w:t>
            </w:r>
          </w:p>
        </w:tc>
        <w:tc>
          <w:tcPr>
            <w:tcW w:type="dxa" w:w="1332"/>
          </w:tcPr>
          <w:p>
            <w:pPr>
              <w:spacing w:after="10" w:before="10"/>
            </w:pPr>
            <w:r/>
            <w:r>
              <w:rPr>
                <w:b w:val="0"/>
                <w:color w:val="16181D"/>
                <w:sz w:val="11"/>
              </w:rPr>
              <w:t>The STRONGEST data structure found — per-EVENT technique labels, which is our per-command granularity, the thing the Shell Attack dataset lacks.</w:t>
            </w:r>
          </w:p>
        </w:tc>
        <w:tc>
          <w:tcPr>
            <w:tcW w:type="dxa" w:w="1276"/>
          </w:tcPr>
          <w:p>
            <w:pPr>
              <w:spacing w:after="10" w:before="10"/>
            </w:pPr>
            <w:r/>
            <w:r>
              <w:rPr>
                <w:b w:val="0"/>
                <w:color w:val="16181D"/>
                <w:sz w:val="11"/>
              </w:rPr>
              <w:t>PARTIAL — their SLM consumes raw log text, not a technique multi-hot, so our data would have to be rendered back into log text.</w:t>
            </w:r>
          </w:p>
        </w:tc>
        <w:tc>
          <w:tcPr>
            <w:tcW w:type="dxa" w:w="1106"/>
          </w:tcPr>
          <w:p>
            <w:pPr>
              <w:spacing w:after="10" w:before="10"/>
            </w:pPr>
            <w:r/>
            <w:r>
              <w:rPr>
                <w:b w:val="0"/>
                <w:color w:val="16181D"/>
                <w:sz w:val="11"/>
              </w:rPr>
              <w:t>WOULD BE THE BEST OPTION IF RELEASED — per-event labels are precisely what we need. Release is unconfirmed and it is a preprint, so it cannot serve as a journal comparator yet.</w:t>
            </w:r>
          </w:p>
        </w:tc>
        <w:tc>
          <w:tcPr>
            <w:tcW w:type="dxa" w:w="1502"/>
          </w:tcPr>
          <w:p>
            <w:pPr>
              <w:spacing w:after="10" w:before="10"/>
            </w:pPr>
            <w:r/>
            <w:r>
              <w:rPr>
                <w:b/>
                <w:color w:val="16181D"/>
                <w:sz w:val="11"/>
              </w:rPr>
              <w:t>DATASET (release not stated) + CODE. A watch item, not a comparator — recheck for a journal version.</w:t>
            </w:r>
          </w:p>
        </w:tc>
      </w:tr>
    </w:tbl>
    <w:p>
      <w:pPr>
        <w:spacing w:after="80"/>
      </w:pPr>
      <w:r>
        <w:rPr>
          <w:b w:val="0"/>
          <w:color w:val="565D6B"/>
          <w:sz w:val="14"/>
        </w:rPr>
        <w:t>Verification:  FULL = full text read (Kuwano only).  PARTIAL = key facts confirmed from the publisher record plus the authors' own repository or dataset card, not a complete read.  METADATA = only the Crossref record verified; model internals and dataset are NOT known.  Quartiles: only IJIS is confirmed (Q1, 2025). Every other row says 'check' — Scimago blocks automated access and no quartile was guessed.</w:t>
      </w:r>
    </w:p>
    <w:p>
      <w:pPr>
        <w:spacing w:after="200"/>
      </w:pPr>
      <w:r>
        <w:rPr>
          <w:b w:val="0"/>
          <w:color w:val="565D6B"/>
          <w:sz w:val="14"/>
        </w:rPr>
        <w:t>Reproducible column — what is missing to reproduce the published result:  CODE + DATASET = neither available.  DATASET = model specified or code released, data missing.  CODE = data public or none needed, implementation missing.  NOTHING MISSING = everything needed is in hand.</w:t>
      </w:r>
    </w:p>
    <w:p>
      <w:pPr>
        <w:spacing w:before="240" w:after="100"/>
        <w:pBdr>
          <w:bottom w:val="single" w:sz="12" w:color="16181D" w:space="2"/>
        </w:pBdr>
      </w:pPr>
      <w:r>
        <w:rPr>
          <w:b/>
          <w:color w:val="16181D"/>
          <w:sz w:val="30"/>
        </w:rPr>
        <w:t>What the search changes</w:t>
      </w:r>
    </w:p>
    <w:p>
      <w:pPr>
        <w:spacing w:after="100"/>
      </w:pPr>
      <w:r>
        <w:rPr>
          <w:b w:val="0"/>
          <w:color w:val="565D6B"/>
          <w:sz w:val="18"/>
        </w:rPr>
        <w:t>1.  Kuwano et al. 2023 is the comparator the project has been missing. Its task is ours: a multi-hot vector of observed ATT&amp;CK techniques in, a set of predicted techniques out. Its algorithm is published as complete pseudocode, it is deterministic, its training matrix is the public ATT&amp;CK group×technique table, its three test cases are public CISA advisories, and it reports full confusion matrices rather than figures. Both ideas work on it, and it is the only paper found that can be reproduced number-for-number.</w:t>
      </w:r>
    </w:p>
    <w:p>
      <w:pPr>
        <w:spacing w:after="100"/>
      </w:pPr>
      <w:r>
        <w:rPr>
          <w:b w:val="0"/>
          <w:color w:val="565D6B"/>
          <w:sz w:val="18"/>
        </w:rPr>
        <w:t>2.  HoneyGPT has released its code since our earlier matrix was built, under BSD-3-Clause, together with a CC BY 4.0 companion corpus. The earlier 'no code' entry was correct when written and is now out of date.</w:t>
      </w:r>
    </w:p>
    <w:p>
      <w:pPr>
        <w:spacing w:after="100"/>
      </w:pPr>
      <w:r>
        <w:rPr>
          <w:b w:val="0"/>
          <w:color w:val="565D6B"/>
          <w:sz w:val="18"/>
        </w:rPr>
        <w:t>3.  The Shell Attack Evolution Dataset is the closest real-data analogue of CAM-LDS that exists in public: 12,023 real Cowrie sessions with ordered commands and ordered ATT&amp;CK technique sequences. Its one structural gap is that labels attach to sessions, not commands, so per-command targets must be re-derived with the authors' released pipeline before it can drive our model.</w:t>
      </w:r>
    </w:p>
    <w:p>
      <w:pPr>
        <w:spacing w:after="100"/>
      </w:pPr>
      <w:r>
        <w:rPr>
          <w:b w:val="0"/>
          <w:color w:val="565D6B"/>
          <w:sz w:val="18"/>
        </w:rPr>
        <w:t>4.  The alert-granularity papers (Wang/Yi/Jiang, ASTR) are a dead end for both ideas, and the reason is worth stating once in the thesis: their atomic unit is an IDS alert carrying fields CAM-LDS does not have. Synthesising those fields would fabricate the signal the model reads, which is not a comparison.</w:t>
      </w:r>
    </w:p>
    <w:p>
      <w:pPr>
        <w:spacing w:after="100"/>
      </w:pPr>
      <w:r>
        <w:rPr>
          <w:b w:val="0"/>
          <w:color w:val="565D6B"/>
          <w:sz w:val="18"/>
        </w:rPr>
        <w:t>5.  The constraint found earlier still holds and nothing here removes it. No public dataset carries declared zones or a declared campaign goal, because real telemetry has no author to declare them. Idea 02 can therefore supply our prediction half only. The deception and RL half stays grounded in CAM-LDS, and that limitation belongs in the thesis rather than being argued away.</w:t>
      </w:r>
    </w:p>
    <w:sectPr w:rsidR="00FC693F" w:rsidRPr="0006063C" w:rsidSect="00034616">
      <w:pgSz w:w="16838" w:h="11906" w:orient="landscape"/>
      <w:pgMar w:top="510" w:right="454" w:bottom="510" w:left="45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Calibri" w:hAnsi="Calibri"/>
      <w:color w:val="16181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