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8485B" w14:textId="2EA5C948" w:rsidR="00A92AF4" w:rsidRDefault="00A92AF4">
      <w:pPr>
        <w:spacing w:line="360" w:lineRule="auto"/>
        <w:ind w:leftChars="-1" w:right="310" w:hanging="2"/>
        <w:jc w:val="right"/>
        <w:rPr>
          <w:rFonts w:hint="eastAsia"/>
          <w:bCs/>
          <w:sz w:val="18"/>
        </w:rPr>
      </w:pPr>
    </w:p>
    <w:p w14:paraId="1B8CA127" w14:textId="65155692" w:rsidR="00A92AF4" w:rsidRDefault="00A92AF4">
      <w:pPr>
        <w:spacing w:line="360" w:lineRule="auto"/>
        <w:ind w:leftChars="-1" w:right="310" w:hanging="2"/>
        <w:jc w:val="right"/>
        <w:rPr>
          <w:rFonts w:hint="eastAsia"/>
          <w:bCs/>
          <w:sz w:val="18"/>
        </w:rPr>
      </w:pPr>
    </w:p>
    <w:p w14:paraId="48D924ED" w14:textId="05502882" w:rsidR="00A92AF4" w:rsidRPr="00362A16" w:rsidRDefault="004B3F5B" w:rsidP="00362A16">
      <w:pPr>
        <w:spacing w:line="360" w:lineRule="auto"/>
        <w:jc w:val="center"/>
        <w:rPr>
          <w:rFonts w:ascii="Times New Roman" w:eastAsia="黑体" w:hAnsi="Times New Roman" w:cs="Times New Roman" w:hint="eastAsia"/>
          <w:b/>
          <w:bCs/>
          <w:kern w:val="2"/>
          <w:sz w:val="32"/>
          <w:lang w:val="en-US"/>
        </w:rPr>
      </w:pPr>
      <w:r w:rsidRPr="00362A16">
        <w:rPr>
          <w:rFonts w:ascii="Times New Roman" w:eastAsia="黑体" w:hAnsi="Times New Roman" w:cs="Times New Roman"/>
          <w:b/>
          <w:bCs/>
          <w:kern w:val="2"/>
          <w:sz w:val="32"/>
          <w:lang w:val="en-US"/>
        </w:rPr>
        <w:t>Screening design of HER catalyst based on pre-train model</w:t>
      </w:r>
    </w:p>
    <w:p w14:paraId="4D6A7A07" w14:textId="61C49EE0" w:rsidR="00A92AF4" w:rsidRPr="00362A16" w:rsidRDefault="004B3F5B">
      <w:pPr>
        <w:widowControl w:val="0"/>
        <w:spacing w:line="360" w:lineRule="auto"/>
        <w:jc w:val="center"/>
        <w:rPr>
          <w:rFonts w:ascii="Times New Roman" w:eastAsia="楷体" w:hAnsi="Times New Roman" w:cs="Times New Roman"/>
          <w:kern w:val="2"/>
          <w:szCs w:val="28"/>
          <w:lang w:val="en-US"/>
        </w:rPr>
      </w:pPr>
      <w:r w:rsidRPr="00362A16">
        <w:rPr>
          <w:rFonts w:ascii="Times New Roman" w:eastAsia="楷体" w:hAnsi="Times New Roman" w:cs="Times New Roman" w:hint="eastAsia"/>
          <w:kern w:val="2"/>
          <w:szCs w:val="28"/>
          <w:lang w:val="en-US"/>
        </w:rPr>
        <w:t>Chengrui Xu</w:t>
      </w:r>
      <w:r w:rsidRPr="00362A16">
        <w:rPr>
          <w:rFonts w:ascii="Times New Roman" w:eastAsia="楷体" w:hAnsi="Times New Roman" w:cs="Times New Roman" w:hint="eastAsia"/>
          <w:kern w:val="2"/>
          <w:szCs w:val="28"/>
          <w:lang w:val="en-US"/>
        </w:rPr>
        <w:t>，</w:t>
      </w:r>
      <w:r w:rsidRPr="00362A16">
        <w:rPr>
          <w:rFonts w:ascii="Times New Roman" w:eastAsia="楷体" w:hAnsi="Times New Roman" w:cs="Times New Roman" w:hint="eastAsia"/>
          <w:kern w:val="2"/>
          <w:szCs w:val="28"/>
          <w:lang w:val="en-US"/>
        </w:rPr>
        <w:t>Haibo Wang</w:t>
      </w:r>
      <w:r w:rsidRPr="00362A16">
        <w:rPr>
          <w:rFonts w:ascii="Times New Roman" w:eastAsia="楷体" w:hAnsi="Times New Roman" w:cs="Times New Roman" w:hint="eastAsia"/>
          <w:kern w:val="2"/>
          <w:szCs w:val="28"/>
          <w:lang w:val="en-US"/>
        </w:rPr>
        <w:t>，</w:t>
      </w:r>
      <w:r w:rsidRPr="00362A16">
        <w:rPr>
          <w:rFonts w:ascii="Times New Roman" w:eastAsia="楷体" w:hAnsi="Times New Roman" w:cs="Times New Roman" w:hint="eastAsia"/>
          <w:kern w:val="2"/>
          <w:szCs w:val="28"/>
          <w:lang w:val="en-US"/>
        </w:rPr>
        <w:t>Jingxuan Wang</w:t>
      </w:r>
      <w:r w:rsidRPr="00362A16">
        <w:rPr>
          <w:rFonts w:ascii="Times New Roman" w:eastAsia="楷体" w:hAnsi="Times New Roman" w:cs="Times New Roman" w:hint="eastAsia"/>
          <w:kern w:val="2"/>
          <w:szCs w:val="28"/>
          <w:lang w:val="en-US"/>
        </w:rPr>
        <w:t>，</w:t>
      </w:r>
      <w:r w:rsidRPr="00362A16">
        <w:rPr>
          <w:rFonts w:ascii="Times New Roman" w:eastAsia="楷体" w:hAnsi="Times New Roman" w:cs="Times New Roman" w:hint="eastAsia"/>
          <w:kern w:val="2"/>
          <w:szCs w:val="28"/>
          <w:lang w:val="en-US"/>
        </w:rPr>
        <w:t>Tianyi Fang</w:t>
      </w:r>
      <w:r w:rsidRPr="00362A16">
        <w:rPr>
          <w:rFonts w:ascii="Times New Roman" w:eastAsia="楷体" w:hAnsi="Times New Roman" w:cs="Times New Roman" w:hint="eastAsia"/>
          <w:kern w:val="2"/>
          <w:szCs w:val="28"/>
          <w:lang w:val="en-US"/>
        </w:rPr>
        <w:t>，</w:t>
      </w:r>
      <w:r w:rsidRPr="00362A16">
        <w:rPr>
          <w:rFonts w:ascii="Times New Roman" w:eastAsia="楷体" w:hAnsi="Times New Roman" w:cs="Times New Roman" w:hint="eastAsia"/>
          <w:kern w:val="2"/>
          <w:szCs w:val="28"/>
          <w:lang w:val="en-US"/>
        </w:rPr>
        <w:t>Huizhen Ni</w:t>
      </w:r>
    </w:p>
    <w:p w14:paraId="6C4ADE80" w14:textId="00D161C0" w:rsidR="00A92AF4" w:rsidRPr="00362A16" w:rsidRDefault="00000000">
      <w:pPr>
        <w:widowControl w:val="0"/>
        <w:spacing w:line="360" w:lineRule="auto"/>
        <w:jc w:val="center"/>
        <w:rPr>
          <w:rFonts w:hint="eastAsia"/>
          <w:sz w:val="21"/>
          <w:szCs w:val="21"/>
        </w:rPr>
      </w:pPr>
      <w:r w:rsidRPr="00362A16">
        <w:rPr>
          <w:rFonts w:ascii="Times New Roman" w:eastAsia="楷体" w:hAnsi="Times New Roman" w:cs="Times New Roman" w:hint="eastAsia"/>
          <w:kern w:val="2"/>
          <w:szCs w:val="28"/>
          <w:lang w:val="en-US"/>
        </w:rPr>
        <w:t>（</w:t>
      </w:r>
      <w:r w:rsidR="004B3F5B" w:rsidRPr="00362A16">
        <w:rPr>
          <w:rFonts w:ascii="Times New Roman" w:eastAsia="楷体" w:hAnsi="Times New Roman" w:cs="Times New Roman" w:hint="eastAsia"/>
          <w:kern w:val="2"/>
          <w:szCs w:val="28"/>
          <w:lang w:val="en-US"/>
        </w:rPr>
        <w:t>Tanwei college</w:t>
      </w:r>
      <w:r w:rsidRPr="00362A16">
        <w:rPr>
          <w:rFonts w:ascii="Times New Roman" w:eastAsia="楷体" w:hAnsi="Times New Roman" w:cs="Times New Roman" w:hint="eastAsia"/>
          <w:kern w:val="2"/>
          <w:szCs w:val="28"/>
          <w:lang w:val="en-US"/>
        </w:rPr>
        <w:t>，</w:t>
      </w:r>
      <w:r w:rsidR="004B3F5B" w:rsidRPr="00362A16">
        <w:rPr>
          <w:rFonts w:ascii="Times New Roman" w:eastAsia="楷体" w:hAnsi="Times New Roman" w:cs="Times New Roman"/>
          <w:kern w:val="2"/>
          <w:szCs w:val="28"/>
        </w:rPr>
        <w:t>Department of Chemical Engineering, Tsinghua University</w:t>
      </w:r>
      <w:r w:rsidRPr="00362A16">
        <w:rPr>
          <w:rFonts w:ascii="Times New Roman" w:eastAsia="楷体" w:hAnsi="Times New Roman" w:cs="Times New Roman" w:hint="eastAsia"/>
          <w:kern w:val="2"/>
          <w:szCs w:val="28"/>
          <w:lang w:val="en-US"/>
        </w:rPr>
        <w:t>，</w:t>
      </w:r>
      <w:r w:rsidR="004B3F5B" w:rsidRPr="00362A16">
        <w:rPr>
          <w:rFonts w:ascii="Times New Roman" w:eastAsia="楷体" w:hAnsi="Times New Roman" w:cs="Times New Roman" w:hint="eastAsia"/>
          <w:kern w:val="2"/>
          <w:szCs w:val="28"/>
          <w:lang w:val="en-US"/>
        </w:rPr>
        <w:t>Beijing</w:t>
      </w:r>
      <w:r w:rsidRPr="00362A16">
        <w:rPr>
          <w:rFonts w:ascii="Times New Roman" w:eastAsia="楷体" w:hAnsi="Times New Roman" w:cs="Times New Roman" w:hint="eastAsia"/>
          <w:kern w:val="2"/>
          <w:szCs w:val="28"/>
          <w:lang w:val="en-US"/>
        </w:rPr>
        <w:t>100</w:t>
      </w:r>
      <w:r w:rsidRPr="00362A16">
        <w:rPr>
          <w:rFonts w:ascii="Times New Roman" w:eastAsia="楷体" w:hAnsi="Times New Roman" w:cs="Times New Roman"/>
          <w:kern w:val="2"/>
          <w:szCs w:val="28"/>
          <w:lang w:val="en-US"/>
        </w:rPr>
        <w:t>084</w:t>
      </w:r>
      <w:r w:rsidRPr="00362A16">
        <w:rPr>
          <w:rFonts w:ascii="Times New Roman" w:eastAsia="楷体" w:hAnsi="Times New Roman" w:cs="Times New Roman" w:hint="eastAsia"/>
          <w:kern w:val="2"/>
          <w:szCs w:val="28"/>
          <w:lang w:val="en-US"/>
        </w:rPr>
        <w:t>）</w:t>
      </w:r>
    </w:p>
    <w:p w14:paraId="3420E38C" w14:textId="0294D8C3" w:rsidR="0071280C" w:rsidRDefault="0071280C" w:rsidP="0071280C">
      <w:pPr>
        <w:pStyle w:val="af0"/>
        <w:spacing w:before="0" w:after="0"/>
        <w:rPr>
          <w:rFonts w:eastAsia="微软雅黑" w:hAnsi="宋体" w:cstheme="minorBidi" w:hint="eastAsia"/>
          <w:b/>
          <w:bCs/>
          <w:color w:val="000000"/>
          <w:szCs w:val="21"/>
          <w:lang w:val="en-GB"/>
        </w:rPr>
      </w:pPr>
      <w:bookmarkStart w:id="0" w:name="OLE_LINK4"/>
      <w:r>
        <w:rPr>
          <w:rFonts w:eastAsia="微软雅黑" w:hAnsi="宋体" w:cstheme="minorBidi" w:hint="eastAsia"/>
          <w:b/>
          <w:bCs/>
          <w:color w:val="000000"/>
          <w:szCs w:val="21"/>
        </w:rPr>
        <w:t>Abstract</w:t>
      </w:r>
    </w:p>
    <w:p w14:paraId="5809A2CC" w14:textId="234C5A47" w:rsidR="0071280C" w:rsidRPr="0071280C" w:rsidRDefault="0071280C" w:rsidP="0071280C">
      <w:pPr>
        <w:pStyle w:val="af0"/>
        <w:rPr>
          <w:rFonts w:eastAsia="微软雅黑" w:hint="eastAsia"/>
          <w:color w:val="000000"/>
          <w:szCs w:val="21"/>
          <w:lang w:val="en-US"/>
        </w:rPr>
      </w:pPr>
      <w:r>
        <w:rPr>
          <w:noProof/>
        </w:rPr>
        <w:drawing>
          <wp:anchor distT="0" distB="0" distL="114300" distR="114300" simplePos="0" relativeHeight="251659264" behindDoc="0" locked="0" layoutInCell="1" allowOverlap="1" wp14:anchorId="254C6251" wp14:editId="0833C996">
            <wp:simplePos x="0" y="0"/>
            <wp:positionH relativeFrom="margin">
              <wp:align>right</wp:align>
            </wp:positionH>
            <wp:positionV relativeFrom="paragraph">
              <wp:posOffset>8849</wp:posOffset>
            </wp:positionV>
            <wp:extent cx="3231515" cy="2156460"/>
            <wp:effectExtent l="0" t="0" r="6985" b="0"/>
            <wp:wrapSquare wrapText="bothSides"/>
            <wp:docPr id="1592236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6496"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31515" cy="2156460"/>
                    </a:xfrm>
                    <a:prstGeom prst="rect">
                      <a:avLst/>
                    </a:prstGeom>
                  </pic:spPr>
                </pic:pic>
              </a:graphicData>
            </a:graphic>
          </wp:anchor>
        </w:drawing>
      </w:r>
      <w:r w:rsidRPr="0071280C">
        <w:rPr>
          <w:rFonts w:eastAsia="微软雅黑"/>
          <w:color w:val="000000"/>
          <w:szCs w:val="21"/>
          <w:lang w:val="en-US"/>
        </w:rPr>
        <w:t xml:space="preserve">As </w:t>
      </w:r>
      <w:r w:rsidRPr="0071280C">
        <w:rPr>
          <w:rFonts w:eastAsia="微软雅黑" w:hint="eastAsia"/>
          <w:color w:val="000000"/>
          <w:szCs w:val="21"/>
          <w:lang w:val="en-US"/>
        </w:rPr>
        <w:t xml:space="preserve">a kind of </w:t>
      </w:r>
      <w:r w:rsidRPr="0071280C">
        <w:rPr>
          <w:rFonts w:eastAsia="微软雅黑"/>
          <w:color w:val="000000"/>
          <w:szCs w:val="21"/>
          <w:lang w:val="en-US"/>
        </w:rPr>
        <w:t>good green energy, hydrogen has the advantages of high calorific value and low emission. In order to produce hydrogen efficiently and safely, catalytic electrolysis hydrogen (HER) is currently the most ideal method. On the basis of previous studies, Pt-Co alloy and Ni-P alloy with good catalytic performance as the screening raw materials</w:t>
      </w:r>
      <w:r w:rsidRPr="0071280C">
        <w:rPr>
          <w:rFonts w:eastAsia="微软雅黑" w:hint="eastAsia"/>
          <w:color w:val="000000"/>
          <w:szCs w:val="21"/>
          <w:lang w:val="en-US"/>
        </w:rPr>
        <w:t xml:space="preserve"> were selected. </w:t>
      </w:r>
      <w:r w:rsidRPr="0071280C">
        <w:rPr>
          <w:rFonts w:eastAsia="微软雅黑"/>
          <w:color w:val="000000"/>
          <w:szCs w:val="21"/>
          <w:lang w:val="en-US"/>
        </w:rPr>
        <w:t xml:space="preserve">Pymatgen </w:t>
      </w:r>
      <w:r w:rsidRPr="0071280C">
        <w:rPr>
          <w:rFonts w:eastAsia="微软雅黑" w:hint="eastAsia"/>
          <w:color w:val="000000"/>
          <w:szCs w:val="21"/>
          <w:lang w:val="en-US"/>
        </w:rPr>
        <w:t xml:space="preserve">was applied </w:t>
      </w:r>
      <w:r w:rsidRPr="0071280C">
        <w:rPr>
          <w:rFonts w:eastAsia="微软雅黑"/>
          <w:color w:val="000000"/>
          <w:szCs w:val="21"/>
          <w:lang w:val="en-US"/>
        </w:rPr>
        <w:t xml:space="preserve">to cut the crystals and </w:t>
      </w:r>
      <w:r w:rsidRPr="0071280C">
        <w:rPr>
          <w:rFonts w:eastAsia="微软雅黑" w:hint="eastAsia"/>
          <w:color w:val="000000"/>
          <w:szCs w:val="21"/>
          <w:lang w:val="en-US"/>
        </w:rPr>
        <w:t>form</w:t>
      </w:r>
      <w:r w:rsidRPr="0071280C">
        <w:rPr>
          <w:rFonts w:eastAsia="微软雅黑"/>
          <w:color w:val="000000"/>
          <w:szCs w:val="21"/>
          <w:lang w:val="en-US"/>
        </w:rPr>
        <w:t xml:space="preserve"> the </w:t>
      </w:r>
      <w:r w:rsidRPr="0071280C">
        <w:rPr>
          <w:rFonts w:eastAsia="微软雅黑" w:hint="eastAsia"/>
          <w:color w:val="000000"/>
          <w:szCs w:val="21"/>
          <w:lang w:val="en-US"/>
        </w:rPr>
        <w:t>slabs</w:t>
      </w:r>
      <w:r w:rsidRPr="0071280C">
        <w:rPr>
          <w:rFonts w:eastAsia="微软雅黑"/>
          <w:color w:val="000000"/>
          <w:szCs w:val="21"/>
          <w:lang w:val="en-US"/>
        </w:rPr>
        <w:t xml:space="preserve">, and the pre-trained large model Equiformer V2 </w:t>
      </w:r>
      <w:r w:rsidRPr="0071280C">
        <w:rPr>
          <w:rFonts w:eastAsia="微软雅黑" w:hint="eastAsia"/>
          <w:color w:val="000000"/>
          <w:szCs w:val="21"/>
          <w:lang w:val="en-US"/>
        </w:rPr>
        <w:t xml:space="preserve">was used </w:t>
      </w:r>
      <w:r w:rsidRPr="0071280C">
        <w:rPr>
          <w:rFonts w:eastAsia="微软雅黑"/>
          <w:color w:val="000000"/>
          <w:szCs w:val="21"/>
          <w:lang w:val="en-US"/>
        </w:rPr>
        <w:t xml:space="preserve">to calculate the </w:t>
      </w:r>
      <w:r w:rsidRPr="0071280C">
        <w:rPr>
          <w:rFonts w:eastAsia="微软雅黑" w:hint="eastAsia"/>
          <w:color w:val="000000"/>
          <w:szCs w:val="21"/>
          <w:lang w:val="en-US"/>
        </w:rPr>
        <w:t>free</w:t>
      </w:r>
      <w:r w:rsidRPr="0071280C">
        <w:rPr>
          <w:rFonts w:eastAsia="微软雅黑"/>
          <w:color w:val="000000"/>
          <w:szCs w:val="21"/>
          <w:lang w:val="en-US"/>
        </w:rPr>
        <w:t xml:space="preserve"> energy at the crystal surface adsorption site. Finally, after data processing and analysis, the most ideal crystal and its cutting mode are obtained, namely: CoPt3_mp-1226089_111_1 </w:t>
      </w:r>
      <w:r w:rsidRPr="0071280C">
        <w:rPr>
          <w:rFonts w:eastAsia="微软雅黑" w:hint="eastAsia"/>
          <w:color w:val="000000"/>
          <w:szCs w:val="21"/>
          <w:lang w:val="en-US"/>
        </w:rPr>
        <w:t>,</w:t>
      </w:r>
      <w:r w:rsidRPr="0071280C">
        <w:rPr>
          <w:rFonts w:eastAsia="微软雅黑"/>
          <w:color w:val="000000"/>
          <w:szCs w:val="21"/>
          <w:lang w:val="en-US"/>
        </w:rPr>
        <w:t>NiP4_mp-769108_110_0</w:t>
      </w:r>
      <w:r w:rsidRPr="0071280C">
        <w:rPr>
          <w:rFonts w:eastAsia="微软雅黑" w:hint="eastAsia"/>
          <w:color w:val="000000"/>
          <w:szCs w:val="21"/>
          <w:lang w:val="en-US"/>
        </w:rPr>
        <w:t xml:space="preserve"> and Ni2P_mp-21167_001_0_5_opt.cif.</w:t>
      </w:r>
    </w:p>
    <w:p w14:paraId="6CC63943" w14:textId="37A78132" w:rsidR="0071280C" w:rsidRPr="0071280C" w:rsidRDefault="0071280C" w:rsidP="0071280C">
      <w:pPr>
        <w:pStyle w:val="af0"/>
        <w:spacing w:before="0" w:after="0"/>
        <w:jc w:val="both"/>
        <w:rPr>
          <w:rFonts w:eastAsia="微软雅黑" w:hAnsi="宋体" w:cstheme="minorBidi" w:hint="eastAsia"/>
          <w:color w:val="000000"/>
          <w:szCs w:val="21"/>
          <w:lang w:val="en-US"/>
        </w:rPr>
      </w:pPr>
    </w:p>
    <w:p w14:paraId="366EA401" w14:textId="77777777" w:rsidR="0071280C" w:rsidRDefault="0071280C" w:rsidP="0071280C">
      <w:pPr>
        <w:pStyle w:val="af0"/>
        <w:jc w:val="both"/>
        <w:rPr>
          <w:rFonts w:eastAsia="微软雅黑"/>
          <w:b/>
          <w:bCs/>
          <w:color w:val="000000"/>
          <w:szCs w:val="21"/>
          <w:lang w:val="en-US"/>
        </w:rPr>
      </w:pPr>
      <w:r>
        <w:rPr>
          <w:rFonts w:eastAsia="微软雅黑" w:hAnsi="宋体" w:cstheme="minorBidi" w:hint="eastAsia"/>
          <w:b/>
          <w:bCs/>
          <w:color w:val="000000"/>
          <w:szCs w:val="21"/>
        </w:rPr>
        <w:t>Keywords:</w:t>
      </w:r>
      <w:r>
        <w:rPr>
          <w:rFonts w:eastAsia="微软雅黑" w:hAnsi="宋体" w:cstheme="minorBidi" w:hint="eastAsia"/>
          <w:color w:val="000000"/>
          <w:szCs w:val="21"/>
        </w:rPr>
        <w:t xml:space="preserve"> </w:t>
      </w:r>
      <w:r w:rsidRPr="0071280C">
        <w:rPr>
          <w:rFonts w:eastAsia="微软雅黑"/>
          <w:b/>
          <w:bCs/>
          <w:color w:val="000000"/>
          <w:szCs w:val="21"/>
          <w:lang w:val="en-US"/>
        </w:rPr>
        <w:t xml:space="preserve">Python; HER; </w:t>
      </w:r>
      <w:r w:rsidRPr="0071280C">
        <w:rPr>
          <w:rFonts w:eastAsia="微软雅黑" w:hint="eastAsia"/>
          <w:b/>
          <w:bCs/>
          <w:color w:val="000000"/>
          <w:szCs w:val="21"/>
          <w:lang w:val="en-US"/>
        </w:rPr>
        <w:t>D</w:t>
      </w:r>
      <w:r w:rsidRPr="0071280C">
        <w:rPr>
          <w:rFonts w:eastAsia="微软雅黑"/>
          <w:b/>
          <w:bCs/>
          <w:color w:val="000000"/>
          <w:szCs w:val="21"/>
          <w:lang w:val="en-US"/>
        </w:rPr>
        <w:t xml:space="preserve">eep </w:t>
      </w:r>
      <w:r w:rsidRPr="0071280C">
        <w:rPr>
          <w:rFonts w:eastAsia="微软雅黑" w:hint="eastAsia"/>
          <w:b/>
          <w:bCs/>
          <w:color w:val="000000"/>
          <w:szCs w:val="21"/>
          <w:lang w:val="en-US"/>
        </w:rPr>
        <w:t>L</w:t>
      </w:r>
      <w:r w:rsidRPr="0071280C">
        <w:rPr>
          <w:rFonts w:eastAsia="微软雅黑"/>
          <w:b/>
          <w:bCs/>
          <w:color w:val="000000"/>
          <w:szCs w:val="21"/>
          <w:lang w:val="en-US"/>
        </w:rPr>
        <w:t>earning;</w:t>
      </w:r>
      <w:r w:rsidRPr="0071280C">
        <w:rPr>
          <w:rFonts w:eastAsia="微软雅黑" w:hint="eastAsia"/>
          <w:b/>
          <w:bCs/>
          <w:color w:val="000000"/>
          <w:szCs w:val="21"/>
          <w:lang w:val="en-US"/>
        </w:rPr>
        <w:t xml:space="preserve"> catalyst; DFT calculation</w:t>
      </w:r>
    </w:p>
    <w:p w14:paraId="09D1818A" w14:textId="77777777" w:rsidR="0071280C" w:rsidRPr="0071280C" w:rsidRDefault="0071280C" w:rsidP="0071280C">
      <w:pPr>
        <w:pStyle w:val="af0"/>
        <w:jc w:val="both"/>
        <w:rPr>
          <w:rFonts w:eastAsia="微软雅黑"/>
          <w:b/>
          <w:bCs/>
          <w:color w:val="000000"/>
          <w:szCs w:val="21"/>
          <w:lang w:val="en-US"/>
        </w:rPr>
      </w:pPr>
    </w:p>
    <w:p w14:paraId="176ED8EA" w14:textId="77777777" w:rsidR="0071280C" w:rsidRDefault="0071280C" w:rsidP="0071280C">
      <w:pPr>
        <w:spacing w:before="60" w:after="60" w:line="360" w:lineRule="auto"/>
        <w:rPr>
          <w:rFonts w:ascii="Times New Roman" w:eastAsia="微软雅黑" w:hint="eastAsia"/>
          <w:b/>
          <w:bCs/>
          <w:sz w:val="28"/>
          <w:lang w:val="en-US"/>
        </w:rPr>
      </w:pPr>
      <w:r>
        <w:rPr>
          <w:rFonts w:ascii="Times New Roman" w:eastAsia="微软雅黑" w:hint="eastAsia"/>
          <w:b/>
          <w:bCs/>
          <w:sz w:val="28"/>
          <w:lang w:val="en-US"/>
        </w:rPr>
        <w:t>1 Introduction</w:t>
      </w:r>
    </w:p>
    <w:p w14:paraId="18C8BA36" w14:textId="3C158B02" w:rsidR="00A92AF4" w:rsidRDefault="00000000" w:rsidP="00362A16">
      <w:pPr>
        <w:spacing w:line="360" w:lineRule="auto"/>
        <w:rPr>
          <w:rFonts w:ascii="Times New Roman" w:hAnsi="Times New Roman" w:cs="Times New Roman"/>
          <w:lang w:val="en-US"/>
        </w:rPr>
      </w:pPr>
      <w:r>
        <w:rPr>
          <w:rFonts w:ascii="Times New Roman" w:hAnsi="Times New Roman" w:cs="Times New Roman"/>
        </w:rPr>
        <w:t xml:space="preserve">Hydrogen energy is a kind of secondary energy </w:t>
      </w:r>
      <w:r>
        <w:rPr>
          <w:rFonts w:ascii="Times New Roman" w:hAnsi="Times New Roman" w:cs="Times New Roman" w:hint="eastAsia"/>
          <w:lang w:val="en-US"/>
        </w:rPr>
        <w:t>that is</w:t>
      </w:r>
      <w:r>
        <w:rPr>
          <w:rFonts w:ascii="Times New Roman" w:hAnsi="Times New Roman" w:cs="Times New Roman"/>
        </w:rPr>
        <w:t xml:space="preserve"> rich in sources, green and low carbon and widely used</w:t>
      </w:r>
      <w:r>
        <w:rPr>
          <w:rFonts w:ascii="Times New Roman" w:hAnsi="Times New Roman" w:cs="Times New Roman"/>
          <w:lang w:val="en-US"/>
        </w:rPr>
        <w:t xml:space="preserve">, which could alleviate the climate change issues and energy crisis arising out of the use of non-renewable </w:t>
      </w:r>
      <w:r w:rsidR="00464BA9">
        <w:rPr>
          <w:rFonts w:ascii="Times New Roman" w:hAnsi="Times New Roman" w:cs="Times New Roman"/>
          <w:lang w:val="en-US"/>
        </w:rPr>
        <w:t>resources (</w:t>
      </w:r>
      <w:r>
        <w:rPr>
          <w:rFonts w:ascii="Times New Roman" w:hAnsi="Times New Roman" w:cs="Times New Roman"/>
          <w:lang w:val="en-US"/>
        </w:rPr>
        <w:t>Holladay et al., 2009). Nowadays,</w:t>
      </w:r>
      <w:r>
        <w:rPr>
          <w:rFonts w:ascii="Times New Roman" w:hAnsi="Times New Roman" w:cs="Times New Roman" w:hint="eastAsia"/>
          <w:lang w:val="en-US"/>
        </w:rPr>
        <w:t xml:space="preserve"> </w:t>
      </w:r>
      <w:r>
        <w:rPr>
          <w:rFonts w:ascii="Times New Roman" w:hAnsi="Times New Roman" w:cs="Times New Roman"/>
          <w:lang w:val="en-US"/>
        </w:rPr>
        <w:t xml:space="preserve">electrochemical water splitting for hydrogen evolution reaction (HER) plays an important role in high-purity hydrogen generation, and its industrial application highly relies on HER electrocatalysts’ performance(Wang et al., 2019). </w:t>
      </w:r>
      <w:r>
        <w:rPr>
          <w:rFonts w:ascii="Times New Roman" w:hAnsi="Times New Roman" w:cs="Times New Roman" w:hint="eastAsia"/>
          <w:lang w:val="en-US"/>
        </w:rPr>
        <w:t xml:space="preserve">In previous studies, Nickel-phosphorus alloy(Moon et al., 2015) and platinum-cobalt alloy(Yang et al., 2022) are verified to have good catalysis activity in HER. According to the data </w:t>
      </w:r>
      <w:r>
        <w:rPr>
          <w:rFonts w:ascii="Times New Roman" w:hAnsi="Times New Roman" w:cs="Times New Roman" w:hint="eastAsia"/>
          <w:lang w:val="en-US"/>
        </w:rPr>
        <w:lastRenderedPageBreak/>
        <w:t xml:space="preserve">obtained from the Material Project, there are 5341 kinds of nickel-phosphorus alloy and 4233 kinds of platinum-cobalt alloy adsorption structures worth exploring. </w:t>
      </w:r>
      <w:r>
        <w:rPr>
          <w:rFonts w:ascii="Times New Roman" w:hAnsi="Times New Roman" w:cs="Times New Roman"/>
          <w:lang w:val="en-US"/>
        </w:rPr>
        <w:t xml:space="preserve">However, Due to the complex surface chemistry, </w:t>
      </w:r>
      <w:r>
        <w:rPr>
          <w:rFonts w:ascii="Times New Roman" w:hAnsi="Times New Roman" w:cs="Times New Roman" w:hint="eastAsia"/>
          <w:lang w:val="en-US"/>
        </w:rPr>
        <w:t>s</w:t>
      </w:r>
      <w:r>
        <w:rPr>
          <w:rFonts w:ascii="Times New Roman" w:hAnsi="Times New Roman" w:cs="Times New Roman"/>
          <w:lang w:val="en-US"/>
        </w:rPr>
        <w:t xml:space="preserve">creening </w:t>
      </w:r>
      <w:r>
        <w:rPr>
          <w:rFonts w:ascii="Times New Roman" w:hAnsi="Times New Roman" w:cs="Times New Roman" w:hint="eastAsia"/>
          <w:lang w:val="en-US"/>
        </w:rPr>
        <w:t>them</w:t>
      </w:r>
      <w:r>
        <w:rPr>
          <w:rFonts w:ascii="Times New Roman" w:hAnsi="Times New Roman" w:cs="Times New Roman"/>
          <w:lang w:val="en-US"/>
        </w:rPr>
        <w:t xml:space="preserve"> either via first principles calculations or experiments are limited by their intense resource requirements</w:t>
      </w:r>
      <w:r>
        <w:rPr>
          <w:rFonts w:ascii="Times New Roman" w:hAnsi="Times New Roman" w:cs="Times New Roman" w:hint="eastAsia"/>
          <w:lang w:val="en-US"/>
        </w:rPr>
        <w:t>. In such a scenario, using machine learning models to assist in exploring the performance of several promising HER catalysts will be an advisable choice, which is expected to accelerate potential electrocatalysts discovery by a factor of at least 10(Toyao et al., 2019).</w:t>
      </w:r>
    </w:p>
    <w:p w14:paraId="679C62EF" w14:textId="77777777" w:rsidR="00A92AF4" w:rsidRDefault="00000000" w:rsidP="00362A16">
      <w:pPr>
        <w:spacing w:line="360" w:lineRule="auto"/>
        <w:rPr>
          <w:rFonts w:ascii="Times New Roman" w:hAnsi="Times New Roman" w:cs="Times New Roman"/>
          <w:lang w:val="en-US"/>
        </w:rPr>
      </w:pPr>
      <w:r>
        <w:rPr>
          <w:rFonts w:ascii="Times New Roman" w:hAnsi="Times New Roman" w:cs="Times New Roman" w:hint="eastAsia"/>
          <w:lang w:val="en-US"/>
        </w:rPr>
        <w:t xml:space="preserve">Here, we have used GEMNET-DT, a pretrained graph neural network model to compute the activity of Ni-P alloy and Pt-Co alloy catalysts. </w:t>
      </w:r>
      <w:bookmarkStart w:id="1" w:name="OLE_LINK1"/>
      <w:r>
        <w:rPr>
          <w:rFonts w:ascii="Times New Roman" w:hAnsi="Times New Roman" w:cs="Times New Roman" w:hint="eastAsia"/>
          <w:lang w:val="en-US"/>
        </w:rPr>
        <w:t>GEMNET-DT</w:t>
      </w:r>
      <w:bookmarkEnd w:id="1"/>
      <w:r>
        <w:rPr>
          <w:rFonts w:ascii="Times New Roman" w:hAnsi="Times New Roman" w:cs="Times New Roman" w:hint="eastAsia"/>
          <w:lang w:val="en-US"/>
        </w:rPr>
        <w:t xml:space="preserve"> is a variant of geometric message passing neural networks, which are GNNs with spherical representations(Gasteiger et al., 2021). It is a universal approximator for predictions that are invariant to translation, and equivariant to permutation and rotation. Figure 1 shows its structure.  It can predict the trajectories, energies, and forces with initial adsorbate surface geometries. Thus, adsorption energies of H* for different catalysts can be obtained from </w:t>
      </w:r>
      <w:bookmarkStart w:id="2" w:name="OLE_LINK2"/>
      <w:r>
        <w:rPr>
          <w:rFonts w:ascii="Times New Roman" w:hAnsi="Times New Roman" w:cs="Times New Roman" w:hint="eastAsia"/>
          <w:lang w:val="en-US"/>
        </w:rPr>
        <w:t>GEMNET-DT</w:t>
      </w:r>
      <w:bookmarkEnd w:id="2"/>
      <w:r>
        <w:rPr>
          <w:rFonts w:ascii="Times New Roman" w:hAnsi="Times New Roman" w:cs="Times New Roman" w:hint="eastAsia"/>
          <w:lang w:val="en-US"/>
        </w:rPr>
        <w:t>. These values can be used to compute the activity of catalysts in a quasi-equilibrium microkinetic model(D. Wang et al., 2023).</w:t>
      </w:r>
    </w:p>
    <w:p w14:paraId="758C694D" w14:textId="77777777" w:rsidR="00A92AF4" w:rsidRDefault="00A92AF4">
      <w:pPr>
        <w:spacing w:line="360" w:lineRule="auto"/>
        <w:rPr>
          <w:rFonts w:ascii="Times New Roman" w:hAnsi="Times New Roman" w:cs="Times New Roman"/>
          <w:lang w:val="en-US"/>
        </w:rPr>
      </w:pPr>
    </w:p>
    <w:p w14:paraId="147575F2" w14:textId="77777777" w:rsidR="00A92AF4" w:rsidRDefault="00000000">
      <w:pPr>
        <w:spacing w:line="360" w:lineRule="auto"/>
        <w:jc w:val="center"/>
        <w:rPr>
          <w:rFonts w:hint="eastAsia"/>
        </w:rPr>
      </w:pPr>
      <w:r>
        <w:rPr>
          <w:noProof/>
        </w:rPr>
        <w:drawing>
          <wp:inline distT="0" distB="0" distL="114300" distR="114300" wp14:anchorId="32F49E12" wp14:editId="6D60F7B2">
            <wp:extent cx="3870325" cy="2206625"/>
            <wp:effectExtent l="0" t="0" r="3175" b="317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9"/>
                    <a:stretch>
                      <a:fillRect/>
                    </a:stretch>
                  </pic:blipFill>
                  <pic:spPr>
                    <a:xfrm>
                      <a:off x="0" y="0"/>
                      <a:ext cx="3870325" cy="2206625"/>
                    </a:xfrm>
                    <a:prstGeom prst="rect">
                      <a:avLst/>
                    </a:prstGeom>
                  </pic:spPr>
                </pic:pic>
              </a:graphicData>
            </a:graphic>
          </wp:inline>
        </w:drawing>
      </w:r>
    </w:p>
    <w:p w14:paraId="56D27BD7" w14:textId="61FF3196" w:rsidR="00A92AF4" w:rsidRDefault="00CE7DDC" w:rsidP="00CE7DDC">
      <w:pPr>
        <w:spacing w:line="360" w:lineRule="auto"/>
        <w:jc w:val="center"/>
        <w:rPr>
          <w:rFonts w:ascii="Times New Roman" w:hAnsi="Times New Roman" w:cs="Times New Roman"/>
          <w:sz w:val="20"/>
          <w:szCs w:val="20"/>
          <w:lang w:val="en-US"/>
        </w:rPr>
      </w:pPr>
      <w:r w:rsidRPr="00CE7DDC">
        <w:rPr>
          <w:rFonts w:ascii="Times New Roman" w:hAnsi="Times New Roman" w:cs="Times New Roman" w:hint="eastAsia"/>
          <w:b/>
          <w:bCs/>
          <w:sz w:val="20"/>
          <w:szCs w:val="20"/>
          <w:lang w:val="en-US"/>
        </w:rPr>
        <w:t>Figure 1</w:t>
      </w:r>
      <w:r>
        <w:rPr>
          <w:rFonts w:ascii="Times New Roman" w:hAnsi="Times New Roman" w:cs="Times New Roman" w:hint="eastAsia"/>
          <w:b/>
          <w:bCs/>
          <w:sz w:val="20"/>
          <w:szCs w:val="20"/>
          <w:lang w:val="en-US"/>
        </w:rPr>
        <w:t xml:space="preserve"> </w:t>
      </w:r>
      <w:r w:rsidRPr="00CE7DDC">
        <w:rPr>
          <w:rFonts w:ascii="Times New Roman" w:hAnsi="Times New Roman" w:cs="Times New Roman" w:hint="eastAsia"/>
          <w:sz w:val="20"/>
          <w:szCs w:val="20"/>
          <w:lang w:val="en-US"/>
        </w:rPr>
        <w:t>GEMNET-DT</w:t>
      </w:r>
      <w:r w:rsidRPr="00CE7DDC">
        <w:rPr>
          <w:rFonts w:ascii="Times New Roman" w:hAnsi="Times New Roman" w:cs="Times New Roman"/>
          <w:sz w:val="20"/>
          <w:szCs w:val="20"/>
          <w:lang w:val="en-US"/>
        </w:rPr>
        <w:t>’</w:t>
      </w:r>
      <w:r w:rsidRPr="00CE7DDC">
        <w:rPr>
          <w:rFonts w:ascii="Times New Roman" w:hAnsi="Times New Roman" w:cs="Times New Roman" w:hint="eastAsia"/>
          <w:sz w:val="20"/>
          <w:szCs w:val="20"/>
          <w:lang w:val="en-US"/>
        </w:rPr>
        <w:t>s structure</w:t>
      </w:r>
    </w:p>
    <w:p w14:paraId="5F1368B3" w14:textId="77777777" w:rsidR="0071280C" w:rsidRDefault="0071280C" w:rsidP="00CE7DDC">
      <w:pPr>
        <w:spacing w:line="360" w:lineRule="auto"/>
        <w:jc w:val="center"/>
        <w:rPr>
          <w:rFonts w:ascii="Times New Roman" w:hAnsi="Times New Roman" w:cs="Times New Roman"/>
          <w:sz w:val="20"/>
          <w:szCs w:val="20"/>
          <w:lang w:val="en-US"/>
        </w:rPr>
      </w:pPr>
    </w:p>
    <w:p w14:paraId="26567DA9" w14:textId="06A493AA" w:rsidR="0071280C" w:rsidRPr="0071280C" w:rsidRDefault="0071280C" w:rsidP="0071280C">
      <w:pPr>
        <w:spacing w:before="60" w:after="60" w:line="360" w:lineRule="auto"/>
        <w:rPr>
          <w:rFonts w:ascii="Times New Roman" w:eastAsia="微软雅黑" w:hint="eastAsia"/>
          <w:b/>
          <w:bCs/>
          <w:sz w:val="28"/>
          <w:lang w:val="en-US"/>
        </w:rPr>
      </w:pPr>
      <w:r>
        <w:rPr>
          <w:rFonts w:ascii="Times New Roman" w:eastAsia="微软雅黑" w:hint="eastAsia"/>
          <w:b/>
          <w:bCs/>
          <w:sz w:val="28"/>
          <w:lang w:val="en-US"/>
        </w:rPr>
        <w:t>2</w:t>
      </w:r>
      <w:r>
        <w:rPr>
          <w:rFonts w:ascii="Times New Roman" w:eastAsia="微软雅黑" w:hint="eastAsia"/>
          <w:b/>
          <w:bCs/>
          <w:sz w:val="28"/>
          <w:lang w:val="en-US"/>
        </w:rPr>
        <w:t xml:space="preserve"> </w:t>
      </w:r>
      <w:r>
        <w:rPr>
          <w:rFonts w:ascii="Times New Roman" w:eastAsia="微软雅黑" w:hint="eastAsia"/>
          <w:b/>
          <w:bCs/>
          <w:sz w:val="28"/>
          <w:lang w:val="en-US"/>
        </w:rPr>
        <w:t>Methods</w:t>
      </w:r>
    </w:p>
    <w:p w14:paraId="2ED316A2" w14:textId="77777777" w:rsidR="00A92AF4" w:rsidRDefault="00000000" w:rsidP="0071280C">
      <w:pPr>
        <w:pStyle w:val="afa"/>
        <w:numPr>
          <w:ilvl w:val="0"/>
          <w:numId w:val="1"/>
        </w:numPr>
        <w:spacing w:line="360" w:lineRule="auto"/>
        <w:jc w:val="left"/>
        <w:rPr>
          <w:rFonts w:ascii="Times New Roman" w:hAnsi="Times New Roman"/>
          <w:b/>
          <w:bCs/>
          <w:sz w:val="24"/>
          <w:szCs w:val="24"/>
        </w:rPr>
      </w:pPr>
      <w:r>
        <w:rPr>
          <w:rFonts w:ascii="Times New Roman" w:hAnsi="Times New Roman"/>
          <w:b/>
          <w:bCs/>
          <w:sz w:val="24"/>
          <w:szCs w:val="24"/>
        </w:rPr>
        <w:t xml:space="preserve">Data Preparation and Representation </w:t>
      </w:r>
    </w:p>
    <w:p w14:paraId="73180D28" w14:textId="773014A8" w:rsidR="00A92AF4" w:rsidRDefault="00000000" w:rsidP="00362A16">
      <w:pPr>
        <w:spacing w:line="360" w:lineRule="auto"/>
        <w:rPr>
          <w:rFonts w:ascii="Times New Roman" w:hAnsi="Times New Roman" w:cs="Times New Roman"/>
          <w:iCs/>
          <w:color w:val="000000"/>
          <w:kern w:val="24"/>
        </w:rPr>
      </w:pPr>
      <w:r>
        <w:rPr>
          <w:rFonts w:ascii="Times New Roman" w:hAnsi="Times New Roman" w:cs="Times New Roman"/>
          <w:iCs/>
          <w:color w:val="000000"/>
          <w:kern w:val="24"/>
        </w:rPr>
        <w:t xml:space="preserve">14 thermodynamically stable (energy above hull &lt; 0.1) </w:t>
      </w:r>
      <m:oMath>
        <m:sSub>
          <m:sSubPr>
            <m:ctrlPr>
              <w:rPr>
                <w:rFonts w:ascii="Cambria Math" w:eastAsia="等线" w:hAnsi="Cambria Math" w:cs="Times New Roman"/>
                <w:i/>
                <w:iCs/>
                <w:color w:val="000000"/>
                <w:kern w:val="24"/>
              </w:rPr>
            </m:ctrlPr>
          </m:sSubPr>
          <m:e>
            <m:r>
              <w:rPr>
                <w:rFonts w:ascii="Cambria Math" w:eastAsia="等线" w:hAnsi="Cambria Math" w:cs="Times New Roman"/>
                <w:color w:val="000000"/>
                <w:kern w:val="24"/>
              </w:rPr>
              <m:t>Ni</m:t>
            </m:r>
          </m:e>
          <m:sub>
            <m:r>
              <w:rPr>
                <w:rFonts w:ascii="Cambria Math" w:eastAsia="等线" w:hAnsi="Cambria Math" w:cs="Times New Roman"/>
                <w:color w:val="000000"/>
                <w:kern w:val="24"/>
              </w:rPr>
              <m:t>x</m:t>
            </m:r>
          </m:sub>
        </m:sSub>
        <m:sSub>
          <m:sSubPr>
            <m:ctrlPr>
              <w:rPr>
                <w:rFonts w:ascii="Cambria Math" w:eastAsia="等线" w:hAnsi="Cambria Math" w:cs="Times New Roman"/>
                <w:i/>
                <w:iCs/>
                <w:color w:val="836967"/>
                <w:kern w:val="24"/>
              </w:rPr>
            </m:ctrlPr>
          </m:sSubPr>
          <m:e>
            <m:r>
              <w:rPr>
                <w:rFonts w:ascii="Cambria Math" w:eastAsia="等线" w:hAnsi="Cambria Math" w:cs="Times New Roman"/>
                <w:color w:val="000000"/>
                <w:kern w:val="24"/>
              </w:rPr>
              <m:t>P</m:t>
            </m:r>
          </m:e>
          <m:sub>
            <m:r>
              <w:rPr>
                <w:rFonts w:ascii="Cambria Math" w:eastAsia="等线" w:hAnsi="Cambria Math" w:cs="Times New Roman"/>
                <w:color w:val="000000"/>
                <w:kern w:val="24"/>
              </w:rPr>
              <m:t>y</m:t>
            </m:r>
          </m:sub>
        </m:sSub>
        <m:r>
          <m:rPr>
            <m:sty m:val="p"/>
          </m:rPr>
          <w:rPr>
            <w:rFonts w:ascii="Cambria Math" w:eastAsia="等线" w:hAnsi="Cambria Math" w:cs="Times New Roman"/>
            <w:color w:val="000000"/>
            <w:kern w:val="24"/>
          </w:rPr>
          <m:t> </m:t>
        </m:r>
      </m:oMath>
      <w:r>
        <w:rPr>
          <w:rFonts w:ascii="Times New Roman" w:hAnsi="Times New Roman" w:cs="Times New Roman"/>
          <w:color w:val="000000"/>
          <w:kern w:val="24"/>
        </w:rPr>
        <w:t xml:space="preserve"> and 6 thermodynamically stable </w:t>
      </w:r>
      <m:oMath>
        <m:sSub>
          <m:sSubPr>
            <m:ctrlPr>
              <w:rPr>
                <w:rFonts w:ascii="Cambria Math" w:eastAsia="等线" w:hAnsi="Cambria Math" w:cs="Times New Roman"/>
                <w:i/>
                <w:iCs/>
                <w:color w:val="000000"/>
                <w:kern w:val="24"/>
              </w:rPr>
            </m:ctrlPr>
          </m:sSubPr>
          <m:e>
            <m:r>
              <w:rPr>
                <w:rFonts w:ascii="Cambria Math" w:eastAsia="等线" w:hAnsi="Cambria Math" w:cs="Times New Roman"/>
                <w:color w:val="000000"/>
                <w:kern w:val="24"/>
              </w:rPr>
              <m:t>Co</m:t>
            </m:r>
          </m:e>
          <m:sub>
            <m:r>
              <w:rPr>
                <w:rFonts w:ascii="Cambria Math" w:eastAsia="等线" w:hAnsi="Cambria Math" w:cs="Times New Roman"/>
                <w:color w:val="000000"/>
                <w:kern w:val="24"/>
              </w:rPr>
              <m:t>x</m:t>
            </m:r>
          </m:sub>
        </m:sSub>
        <m:sSub>
          <m:sSubPr>
            <m:ctrlPr>
              <w:rPr>
                <w:rFonts w:ascii="Cambria Math" w:eastAsia="等线" w:hAnsi="Cambria Math" w:cs="Times New Roman"/>
                <w:i/>
                <w:iCs/>
                <w:color w:val="836967"/>
                <w:kern w:val="24"/>
              </w:rPr>
            </m:ctrlPr>
          </m:sSubPr>
          <m:e>
            <m:r>
              <w:rPr>
                <w:rFonts w:ascii="Cambria Math" w:eastAsia="等线" w:hAnsi="Cambria Math" w:cs="Times New Roman"/>
                <w:color w:val="000000"/>
                <w:kern w:val="24"/>
              </w:rPr>
              <m:t>Pt</m:t>
            </m:r>
          </m:e>
          <m:sub>
            <m:r>
              <w:rPr>
                <w:rFonts w:ascii="Cambria Math" w:eastAsia="等线" w:hAnsi="Cambria Math" w:cs="Times New Roman"/>
                <w:color w:val="000000"/>
                <w:kern w:val="24"/>
              </w:rPr>
              <m:t>y</m:t>
            </m:r>
          </m:sub>
        </m:sSub>
      </m:oMath>
      <w:r>
        <w:rPr>
          <w:rFonts w:ascii="Times New Roman" w:hAnsi="Times New Roman" w:cs="Times New Roman"/>
          <w:color w:val="000000"/>
          <w:kern w:val="24"/>
        </w:rPr>
        <w:t xml:space="preserve"> bulks were obtained from database Material Project</w:t>
      </w:r>
      <w:r>
        <w:rPr>
          <w:rFonts w:ascii="Times New Roman" w:hAnsi="Times New Roman" w:cs="Times New Roman"/>
          <w:iCs/>
          <w:color w:val="000000"/>
          <w:kern w:val="24"/>
        </w:rPr>
        <w:t xml:space="preserve">, and the slab models were cleaved </w:t>
      </w:r>
      <w:r>
        <w:rPr>
          <w:rFonts w:ascii="Times New Roman" w:hAnsi="Times New Roman" w:cs="Times New Roman"/>
          <w:iCs/>
          <w:color w:val="000000"/>
          <w:kern w:val="24"/>
        </w:rPr>
        <w:lastRenderedPageBreak/>
        <w:t>from each structure</w:t>
      </w:r>
      <w:r>
        <w:rPr>
          <w:rFonts w:ascii="Times New Roman" w:hAnsi="Times New Roman" w:cs="Times New Roman" w:hint="eastAsia"/>
          <w:iCs/>
          <w:color w:val="000000"/>
          <w:kern w:val="24"/>
          <w:lang w:val="en-US"/>
        </w:rPr>
        <w:t xml:space="preserve"> by</w:t>
      </w:r>
      <w:r>
        <w:rPr>
          <w:rFonts w:ascii="Times New Roman" w:hAnsi="Times New Roman" w:cs="Times New Roman"/>
          <w:iCs/>
          <w:color w:val="000000"/>
          <w:kern w:val="24"/>
        </w:rPr>
        <w:t xml:space="preserve"> applying the pymatgen package from </w:t>
      </w:r>
      <w:r>
        <w:rPr>
          <w:rFonts w:ascii="Times New Roman" w:hAnsi="Times New Roman" w:cs="Times New Roman" w:hint="eastAsia"/>
          <w:iCs/>
          <w:color w:val="000000"/>
          <w:kern w:val="24"/>
          <w:lang w:val="en-US"/>
        </w:rPr>
        <w:t>P</w:t>
      </w:r>
      <w:r>
        <w:rPr>
          <w:rFonts w:ascii="Times New Roman" w:hAnsi="Times New Roman" w:cs="Times New Roman"/>
          <w:iCs/>
          <w:color w:val="000000"/>
          <w:kern w:val="24"/>
        </w:rPr>
        <w:t xml:space="preserve">ython. Figure </w:t>
      </w:r>
      <w:r>
        <w:rPr>
          <w:rFonts w:ascii="Times New Roman" w:hAnsi="Times New Roman" w:cs="Times New Roman" w:hint="eastAsia"/>
          <w:iCs/>
          <w:color w:val="000000"/>
          <w:kern w:val="24"/>
          <w:lang w:val="en-US"/>
        </w:rPr>
        <w:t>2</w:t>
      </w:r>
      <w:r>
        <w:rPr>
          <w:rFonts w:ascii="Times New Roman" w:hAnsi="Times New Roman" w:cs="Times New Roman"/>
          <w:iCs/>
          <w:color w:val="000000"/>
          <w:kern w:val="24"/>
        </w:rPr>
        <w:t xml:space="preserve"> illustrates the process </w:t>
      </w:r>
      <w:r>
        <w:rPr>
          <w:rFonts w:ascii="Times New Roman" w:hAnsi="Times New Roman" w:cs="Times New Roman" w:hint="eastAsia"/>
          <w:iCs/>
          <w:color w:val="000000"/>
          <w:kern w:val="24"/>
          <w:lang w:val="en-US"/>
        </w:rPr>
        <w:t xml:space="preserve">of </w:t>
      </w:r>
      <w:r>
        <w:rPr>
          <w:rFonts w:ascii="Times New Roman" w:hAnsi="Times New Roman" w:cs="Times New Roman"/>
          <w:iCs/>
          <w:color w:val="000000"/>
          <w:kern w:val="24"/>
        </w:rPr>
        <w:t>how a particular a</w:t>
      </w:r>
      <w:r>
        <w:rPr>
          <w:rFonts w:ascii="Times New Roman" w:hAnsi="Times New Roman" w:cs="Times New Roman" w:hint="eastAsia"/>
          <w:iCs/>
          <w:color w:val="000000"/>
          <w:kern w:val="24"/>
        </w:rPr>
        <w:t>d</w:t>
      </w:r>
      <w:r>
        <w:rPr>
          <w:rFonts w:ascii="Times New Roman" w:hAnsi="Times New Roman" w:cs="Times New Roman"/>
          <w:iCs/>
          <w:color w:val="000000"/>
          <w:kern w:val="24"/>
        </w:rPr>
        <w:t>sorption geometry was obtained through cleaving, adsorption points forming and hydrogen atom attachment.</w:t>
      </w:r>
    </w:p>
    <w:p w14:paraId="02FC97BB" w14:textId="77777777" w:rsidR="00A92AF4" w:rsidRDefault="00A92AF4" w:rsidP="00CE7DDC">
      <w:pPr>
        <w:spacing w:line="360" w:lineRule="auto"/>
        <w:rPr>
          <w:rFonts w:ascii="Times New Roman" w:hAnsi="Times New Roman" w:cs="Times New Roman"/>
          <w:iCs/>
          <w:color w:val="000000"/>
          <w:kern w:val="24"/>
          <w:lang w:val="en-US"/>
        </w:rPr>
      </w:pPr>
    </w:p>
    <w:p w14:paraId="2F559CA8" w14:textId="44546BC7" w:rsidR="00A92AF4" w:rsidRPr="00CE7DDC" w:rsidRDefault="00000000">
      <w:pPr>
        <w:spacing w:line="360" w:lineRule="auto"/>
        <w:ind w:firstLineChars="450" w:firstLine="810"/>
        <w:jc w:val="center"/>
        <w:rPr>
          <w:rFonts w:hint="eastAsia"/>
          <w:iCs/>
          <w:color w:val="000000"/>
          <w:kern w:val="24"/>
          <w:sz w:val="18"/>
          <w:szCs w:val="18"/>
        </w:rPr>
      </w:pPr>
      <m:oMathPara>
        <m:oMath>
          <m:sSub>
            <m:sSubPr>
              <m:ctrlPr>
                <w:rPr>
                  <w:rFonts w:ascii="Cambria Math" w:hAnsi="Cambria Math"/>
                  <w:i/>
                  <w:iCs/>
                  <w:color w:val="000000"/>
                  <w:kern w:val="24"/>
                  <w:sz w:val="18"/>
                  <w:szCs w:val="18"/>
                </w:rPr>
              </m:ctrlPr>
            </m:sSubPr>
            <m:e>
              <m:r>
                <w:rPr>
                  <w:rFonts w:ascii="Cambria Math" w:hAnsi="Cambria Math"/>
                  <w:color w:val="000000"/>
                  <w:kern w:val="24"/>
                  <w:sz w:val="18"/>
                  <w:szCs w:val="18"/>
                </w:rPr>
                <m:t>Ni</m:t>
              </m:r>
            </m:e>
            <m:sub>
              <m:r>
                <w:rPr>
                  <w:rFonts w:ascii="Cambria Math" w:hAnsi="Cambria Math"/>
                  <w:color w:val="000000"/>
                  <w:kern w:val="24"/>
                  <w:sz w:val="18"/>
                  <w:szCs w:val="18"/>
                </w:rPr>
                <m:t>5</m:t>
              </m:r>
            </m:sub>
          </m:sSub>
          <m:sSub>
            <m:sSubPr>
              <m:ctrlPr>
                <w:rPr>
                  <w:rFonts w:ascii="Cambria Math" w:hAnsi="Cambria Math"/>
                  <w:i/>
                  <w:iCs/>
                  <w:color w:val="836967"/>
                  <w:kern w:val="24"/>
                  <w:sz w:val="18"/>
                  <w:szCs w:val="18"/>
                </w:rPr>
              </m:ctrlPr>
            </m:sSubPr>
            <m:e>
              <m:r>
                <w:rPr>
                  <w:rFonts w:ascii="Cambria Math" w:hAnsi="Cambria Math"/>
                  <w:color w:val="000000"/>
                  <w:kern w:val="24"/>
                  <w:sz w:val="18"/>
                  <w:szCs w:val="18"/>
                </w:rPr>
                <m:t>P</m:t>
              </m:r>
            </m:e>
            <m:sub>
              <m:r>
                <w:rPr>
                  <w:rFonts w:ascii="Cambria Math" w:hAnsi="Cambria Math"/>
                  <w:color w:val="000000"/>
                  <w:kern w:val="24"/>
                  <w:sz w:val="18"/>
                  <w:szCs w:val="18"/>
                </w:rPr>
                <m:t>4</m:t>
              </m:r>
            </m:sub>
          </m:sSub>
          <m:r>
            <w:rPr>
              <w:rFonts w:ascii="Cambria Math" w:hAnsi="Cambria Math"/>
              <w:color w:val="000000"/>
              <w:kern w:val="24"/>
              <w:sz w:val="18"/>
              <w:szCs w:val="18"/>
            </w:rPr>
            <m:t xml:space="preserve"> mp-1920                                  </m:t>
          </m:r>
          <m:sSub>
            <m:sSubPr>
              <m:ctrlPr>
                <w:rPr>
                  <w:rFonts w:ascii="Cambria Math" w:hAnsi="Cambria Math"/>
                  <w:i/>
                  <w:iCs/>
                  <w:color w:val="000000"/>
                  <w:kern w:val="24"/>
                  <w:sz w:val="18"/>
                  <w:szCs w:val="18"/>
                </w:rPr>
              </m:ctrlPr>
            </m:sSubPr>
            <m:e>
              <m:r>
                <w:rPr>
                  <w:rFonts w:ascii="Cambria Math" w:hAnsi="Cambria Math"/>
                  <w:color w:val="000000"/>
                  <w:kern w:val="24"/>
                  <w:sz w:val="18"/>
                  <w:szCs w:val="18"/>
                </w:rPr>
                <m:t>Ni</m:t>
              </m:r>
            </m:e>
            <m:sub>
              <m:r>
                <w:rPr>
                  <w:rFonts w:ascii="Cambria Math" w:hAnsi="Cambria Math"/>
                  <w:color w:val="000000"/>
                  <w:kern w:val="24"/>
                  <w:sz w:val="18"/>
                  <w:szCs w:val="18"/>
                </w:rPr>
                <m:t>5</m:t>
              </m:r>
            </m:sub>
          </m:sSub>
          <m:sSub>
            <m:sSubPr>
              <m:ctrlPr>
                <w:rPr>
                  <w:rFonts w:ascii="Cambria Math" w:hAnsi="Cambria Math"/>
                  <w:i/>
                  <w:iCs/>
                  <w:color w:val="000000"/>
                  <w:kern w:val="24"/>
                  <w:sz w:val="18"/>
                  <w:szCs w:val="18"/>
                </w:rPr>
              </m:ctrlPr>
            </m:sSubPr>
            <m:e>
              <m:r>
                <w:rPr>
                  <w:rFonts w:ascii="Cambria Math" w:hAnsi="Cambria Math"/>
                  <w:color w:val="000000"/>
                  <w:kern w:val="24"/>
                  <w:sz w:val="18"/>
                  <w:szCs w:val="18"/>
                </w:rPr>
                <m:t>P</m:t>
              </m:r>
            </m:e>
            <m:sub>
              <m:r>
                <w:rPr>
                  <w:rFonts w:ascii="Cambria Math" w:hAnsi="Cambria Math"/>
                  <w:color w:val="000000"/>
                  <w:kern w:val="24"/>
                  <w:sz w:val="18"/>
                  <w:szCs w:val="18"/>
                </w:rPr>
                <m:t>4</m:t>
              </m:r>
            </m:sub>
          </m:sSub>
          <m:r>
            <w:rPr>
              <w:rFonts w:ascii="Cambria Math" w:hAnsi="Cambria Math"/>
              <w:color w:val="000000"/>
              <w:kern w:val="24"/>
              <w:sz w:val="18"/>
              <w:szCs w:val="18"/>
            </w:rPr>
            <m:t> Slab</m:t>
          </m:r>
          <m:d>
            <m:dPr>
              <m:ctrlPr>
                <w:rPr>
                  <w:rFonts w:ascii="Cambria Math" w:hAnsi="Cambria Math"/>
                  <w:i/>
                  <w:iCs/>
                  <w:color w:val="000000"/>
                  <w:kern w:val="24"/>
                  <w:sz w:val="18"/>
                  <w:szCs w:val="18"/>
                </w:rPr>
              </m:ctrlPr>
            </m:dPr>
            <m:e>
              <m:r>
                <w:rPr>
                  <w:rFonts w:ascii="Cambria Math" w:hAnsi="Cambria Math"/>
                  <w:color w:val="000000"/>
                  <w:kern w:val="24"/>
                  <w:sz w:val="18"/>
                  <w:szCs w:val="18"/>
                </w:rPr>
                <m:t>1,1,1</m:t>
              </m:r>
            </m:e>
          </m:d>
          <m:r>
            <w:rPr>
              <w:rFonts w:ascii="Cambria Math" w:hAnsi="Cambria Math"/>
              <w:color w:val="000000"/>
              <w:kern w:val="24"/>
              <w:sz w:val="18"/>
              <w:szCs w:val="18"/>
            </w:rPr>
            <m:t xml:space="preserve"> absorption                   </m:t>
          </m:r>
          <m:r>
            <m:rPr>
              <m:sty m:val="p"/>
            </m:rPr>
            <w:rPr>
              <w:rFonts w:ascii="Cambria Math" w:hAnsi="Cambria Math"/>
              <w:color w:val="000000"/>
              <w:kern w:val="24"/>
              <w:sz w:val="18"/>
              <w:szCs w:val="18"/>
            </w:rPr>
            <m:t>Adsorption geometries</m:t>
          </m:r>
        </m:oMath>
      </m:oMathPara>
    </w:p>
    <w:p w14:paraId="02679A98" w14:textId="77777777" w:rsidR="00A92AF4" w:rsidRDefault="00000000">
      <w:pPr>
        <w:spacing w:line="360" w:lineRule="auto"/>
        <w:ind w:firstLineChars="100" w:firstLine="200"/>
        <w:jc w:val="center"/>
        <w:rPr>
          <w:rFonts w:hint="eastAsia"/>
          <w:iCs/>
          <w:color w:val="000000"/>
          <w:kern w:val="24"/>
          <w:sz w:val="20"/>
          <w:szCs w:val="20"/>
        </w:rPr>
      </w:pPr>
      <w:r>
        <w:rPr>
          <w:rFonts w:hint="eastAsia"/>
          <w:iCs/>
          <w:noProof/>
          <w:color w:val="000000"/>
          <w:kern w:val="24"/>
          <w:sz w:val="20"/>
          <w:szCs w:val="20"/>
        </w:rPr>
        <w:drawing>
          <wp:inline distT="0" distB="0" distL="0" distR="0" wp14:anchorId="3C0B5BBB" wp14:editId="1ACAD659">
            <wp:extent cx="1468755" cy="1191895"/>
            <wp:effectExtent l="0" t="0" r="4445" b="1905"/>
            <wp:docPr id="766803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3926"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4649" cy="1196874"/>
                    </a:xfrm>
                    <a:prstGeom prst="rect">
                      <a:avLst/>
                    </a:prstGeom>
                    <a:noFill/>
                  </pic:spPr>
                </pic:pic>
              </a:graphicData>
            </a:graphic>
          </wp:inline>
        </w:drawing>
      </w:r>
      <w:r>
        <w:rPr>
          <w:rFonts w:hint="eastAsia"/>
          <w:iCs/>
          <w:color w:val="000000"/>
          <w:kern w:val="24"/>
          <w:sz w:val="20"/>
          <w:szCs w:val="20"/>
        </w:rPr>
        <w:t xml:space="preserve">     </w:t>
      </w:r>
      <w:r>
        <w:rPr>
          <w:rFonts w:hint="eastAsia"/>
          <w:iCs/>
          <w:noProof/>
          <w:color w:val="000000"/>
          <w:kern w:val="24"/>
          <w:sz w:val="20"/>
          <w:szCs w:val="20"/>
        </w:rPr>
        <w:drawing>
          <wp:inline distT="0" distB="0" distL="0" distR="0" wp14:anchorId="728DDDC2" wp14:editId="47815BFA">
            <wp:extent cx="1223010" cy="1209675"/>
            <wp:effectExtent l="0" t="0" r="8890" b="9525"/>
            <wp:docPr id="11113929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297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32268" cy="1218757"/>
                    </a:xfrm>
                    <a:prstGeom prst="rect">
                      <a:avLst/>
                    </a:prstGeom>
                    <a:noFill/>
                  </pic:spPr>
                </pic:pic>
              </a:graphicData>
            </a:graphic>
          </wp:inline>
        </w:drawing>
      </w:r>
      <w:r>
        <w:rPr>
          <w:rFonts w:hint="eastAsia"/>
          <w:iCs/>
          <w:color w:val="000000"/>
          <w:kern w:val="24"/>
          <w:sz w:val="20"/>
          <w:szCs w:val="20"/>
        </w:rPr>
        <w:t xml:space="preserve">    </w:t>
      </w:r>
      <w:r>
        <w:rPr>
          <w:rFonts w:hint="eastAsia"/>
          <w:iCs/>
          <w:noProof/>
          <w:color w:val="000000"/>
          <w:kern w:val="24"/>
          <w:sz w:val="20"/>
          <w:szCs w:val="20"/>
        </w:rPr>
        <w:drawing>
          <wp:inline distT="0" distB="0" distL="0" distR="0" wp14:anchorId="48B27371" wp14:editId="010385EE">
            <wp:extent cx="1467485" cy="1207770"/>
            <wp:effectExtent l="0" t="0" r="5715" b="11430"/>
            <wp:docPr id="11000091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09151"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97632" cy="1232696"/>
                    </a:xfrm>
                    <a:prstGeom prst="rect">
                      <a:avLst/>
                    </a:prstGeom>
                    <a:noFill/>
                  </pic:spPr>
                </pic:pic>
              </a:graphicData>
            </a:graphic>
          </wp:inline>
        </w:drawing>
      </w:r>
    </w:p>
    <w:p w14:paraId="28FF819B" w14:textId="63415903" w:rsidR="00CE7DDC" w:rsidRPr="00CE7DDC" w:rsidRDefault="00CE7DDC" w:rsidP="00CE7DDC">
      <w:pPr>
        <w:spacing w:line="360" w:lineRule="auto"/>
        <w:jc w:val="center"/>
        <w:rPr>
          <w:rFonts w:ascii="Times New Roman" w:hAnsi="Times New Roman" w:cs="Times New Roman"/>
          <w:iCs/>
          <w:color w:val="000000"/>
          <w:kern w:val="24"/>
          <w:sz w:val="20"/>
          <w:szCs w:val="20"/>
          <w:lang w:val="en-US"/>
        </w:rPr>
      </w:pPr>
      <w:r w:rsidRPr="00CE7DDC">
        <w:rPr>
          <w:rFonts w:ascii="Times New Roman" w:hAnsi="Times New Roman" w:cs="Times New Roman"/>
          <w:iCs/>
          <w:color w:val="000000"/>
          <w:kern w:val="24"/>
          <w:sz w:val="20"/>
          <w:szCs w:val="20"/>
          <w:lang w:val="en-US"/>
        </w:rPr>
        <w:t>Figure 2</w:t>
      </w:r>
      <w:r>
        <w:rPr>
          <w:rFonts w:ascii="Times New Roman" w:hAnsi="Times New Roman" w:cs="Times New Roman" w:hint="eastAsia"/>
          <w:iCs/>
          <w:color w:val="000000"/>
          <w:kern w:val="24"/>
          <w:sz w:val="20"/>
          <w:szCs w:val="20"/>
          <w:lang w:val="en-US"/>
        </w:rPr>
        <w:t xml:space="preserve"> </w:t>
      </w:r>
      <w:r w:rsidRPr="00CE7DDC">
        <w:rPr>
          <w:rFonts w:ascii="Times New Roman" w:hAnsi="Times New Roman" w:cs="Times New Roman"/>
          <w:iCs/>
          <w:color w:val="000000"/>
          <w:kern w:val="24"/>
          <w:sz w:val="20"/>
          <w:szCs w:val="20"/>
        </w:rPr>
        <w:t>Illustration of the creation of slab-adsorbate structures for various intermediates.</w:t>
      </w:r>
    </w:p>
    <w:p w14:paraId="1B843E7E" w14:textId="77777777" w:rsidR="00CE7DDC" w:rsidRPr="00CE7DDC" w:rsidRDefault="00CE7DDC">
      <w:pPr>
        <w:spacing w:line="360" w:lineRule="auto"/>
        <w:ind w:firstLineChars="100" w:firstLine="200"/>
        <w:jc w:val="center"/>
        <w:rPr>
          <w:rFonts w:hint="eastAsia"/>
          <w:iCs/>
          <w:color w:val="000000"/>
          <w:kern w:val="24"/>
          <w:sz w:val="20"/>
          <w:szCs w:val="20"/>
          <w:lang w:val="en-US"/>
        </w:rPr>
      </w:pPr>
    </w:p>
    <w:p w14:paraId="5BA26294" w14:textId="77777777" w:rsidR="00A92AF4" w:rsidRDefault="00A92AF4">
      <w:pPr>
        <w:spacing w:line="360" w:lineRule="auto"/>
        <w:rPr>
          <w:rFonts w:hint="eastAsia"/>
          <w:sz w:val="20"/>
          <w:szCs w:val="20"/>
          <w:lang w:val="en-US"/>
        </w:rPr>
      </w:pPr>
    </w:p>
    <w:p w14:paraId="7FACABCB" w14:textId="77777777" w:rsidR="00A92AF4" w:rsidRDefault="00000000">
      <w:pPr>
        <w:pStyle w:val="afa"/>
        <w:numPr>
          <w:ilvl w:val="0"/>
          <w:numId w:val="1"/>
        </w:numPr>
        <w:spacing w:line="360" w:lineRule="auto"/>
        <w:jc w:val="left"/>
        <w:rPr>
          <w:rFonts w:ascii="Times New Roman" w:hAnsi="Times New Roman"/>
          <w:b/>
          <w:bCs/>
          <w:sz w:val="24"/>
          <w:szCs w:val="24"/>
        </w:rPr>
      </w:pPr>
      <w:r>
        <w:rPr>
          <w:rFonts w:ascii="Times New Roman" w:hAnsi="Times New Roman" w:hint="eastAsia"/>
          <w:b/>
          <w:bCs/>
          <w:sz w:val="24"/>
          <w:szCs w:val="24"/>
        </w:rPr>
        <w:t>Module Selection</w:t>
      </w:r>
    </w:p>
    <w:p w14:paraId="1E478E66" w14:textId="1F6E3BD8" w:rsidR="00A92AF4" w:rsidRDefault="00000000" w:rsidP="00362A16">
      <w:pPr>
        <w:spacing w:line="360" w:lineRule="auto"/>
        <w:rPr>
          <w:rFonts w:ascii="Times New Roman" w:hAnsi="Times New Roman" w:cs="Times New Roman"/>
        </w:rPr>
      </w:pPr>
      <w:r>
        <w:rPr>
          <w:rFonts w:ascii="Times New Roman" w:hAnsi="Times New Roman" w:cs="Times New Roman"/>
        </w:rPr>
        <w:t>GEMNET-</w:t>
      </w:r>
      <w:r>
        <w:rPr>
          <w:rFonts w:ascii="Times New Roman" w:hAnsi="Times New Roman" w:cs="Times New Roman" w:hint="eastAsia"/>
        </w:rPr>
        <w:t>DT</w:t>
      </w:r>
      <w:r>
        <w:rPr>
          <w:rFonts w:ascii="Times New Roman" w:hAnsi="Times New Roman" w:cs="Times New Roman"/>
        </w:rPr>
        <w:t xml:space="preserve"> model, pretrained on the large OC20 dataset</w:t>
      </w:r>
      <w:r>
        <w:rPr>
          <w:rFonts w:ascii="Times New Roman" w:hAnsi="Times New Roman" w:cs="Times New Roman" w:hint="eastAsia"/>
        </w:rPr>
        <w:t xml:space="preserve"> (Chanussot et al., 2021),</w:t>
      </w:r>
      <w:r>
        <w:rPr>
          <w:rFonts w:ascii="Times New Roman" w:hAnsi="Times New Roman" w:cs="Times New Roman"/>
        </w:rPr>
        <w:t xml:space="preserve"> was used to compute adsorbate binding energies.</w:t>
      </w:r>
      <w:r>
        <w:rPr>
          <w:rFonts w:ascii="Times New Roman" w:hAnsi="Times New Roman" w:cs="Times New Roman" w:hint="eastAsia"/>
        </w:rPr>
        <w:t xml:space="preserve"> The predecessor in this field has well proved the reliability of this module</w:t>
      </w:r>
      <w:r w:rsidR="00BA553D">
        <w:rPr>
          <w:rFonts w:ascii="Times New Roman" w:hAnsi="Times New Roman" w:cs="Times New Roman" w:hint="eastAsia"/>
        </w:rPr>
        <w:t xml:space="preserve">. </w:t>
      </w:r>
      <w:r>
        <w:rPr>
          <w:rFonts w:ascii="Times New Roman" w:hAnsi="Times New Roman" w:cs="Times New Roman" w:hint="eastAsia"/>
        </w:rPr>
        <w:t xml:space="preserve">In </w:t>
      </w:r>
      <w:r>
        <w:rPr>
          <w:rFonts w:ascii="Times New Roman" w:hAnsi="Times New Roman" w:cs="Times New Roman"/>
        </w:rPr>
        <w:t>Gasteiger</w:t>
      </w:r>
      <w:r>
        <w:rPr>
          <w:rFonts w:ascii="Times New Roman" w:hAnsi="Times New Roman" w:cs="Times New Roman" w:hint="eastAsia"/>
        </w:rPr>
        <w:t xml:space="preserve"> and his coworkers</w:t>
      </w:r>
      <w:r>
        <w:rPr>
          <w:rFonts w:ascii="Times New Roman" w:hAnsi="Times New Roman" w:cs="Times New Roman"/>
        </w:rPr>
        <w:t>’</w:t>
      </w:r>
      <w:r>
        <w:rPr>
          <w:rFonts w:ascii="Times New Roman" w:hAnsi="Times New Roman" w:cs="Times New Roman" w:hint="eastAsia"/>
        </w:rPr>
        <w:t xml:space="preserve"> work, GEMNET-OC module was proved to be much more powerful and accurate in stimulating DFT calculation compared to GEMNET-DT module (</w:t>
      </w:r>
      <w:r>
        <w:rPr>
          <w:rFonts w:ascii="Times New Roman" w:hAnsi="Times New Roman" w:cs="Times New Roman"/>
        </w:rPr>
        <w:t>Gasteiger</w:t>
      </w:r>
      <w:r>
        <w:rPr>
          <w:rFonts w:ascii="Times New Roman" w:hAnsi="Times New Roman" w:cs="Times New Roman" w:hint="eastAsia"/>
        </w:rPr>
        <w:t xml:space="preserve"> et al., 2022). </w:t>
      </w:r>
    </w:p>
    <w:p w14:paraId="3A2E9813" w14:textId="77777777" w:rsidR="00A92AF4" w:rsidRDefault="00A92AF4">
      <w:pPr>
        <w:spacing w:line="360" w:lineRule="auto"/>
        <w:rPr>
          <w:rFonts w:ascii="Times New Roman" w:hAnsi="Times New Roman" w:cs="Times New Roman"/>
          <w:sz w:val="20"/>
          <w:szCs w:val="20"/>
        </w:rPr>
      </w:pPr>
    </w:p>
    <w:p w14:paraId="288CF382" w14:textId="77777777" w:rsidR="00A92AF4" w:rsidRDefault="00000000">
      <w:pPr>
        <w:pStyle w:val="afa"/>
        <w:numPr>
          <w:ilvl w:val="0"/>
          <w:numId w:val="1"/>
        </w:numPr>
        <w:spacing w:line="360" w:lineRule="auto"/>
        <w:jc w:val="left"/>
        <w:rPr>
          <w:rFonts w:ascii="Times New Roman" w:hAnsi="Times New Roman"/>
          <w:b/>
          <w:bCs/>
          <w:sz w:val="24"/>
          <w:szCs w:val="24"/>
        </w:rPr>
      </w:pPr>
      <w:r>
        <w:rPr>
          <w:rFonts w:ascii="Times New Roman" w:hAnsi="Times New Roman" w:hint="eastAsia"/>
          <w:b/>
          <w:bCs/>
          <w:sz w:val="24"/>
          <w:szCs w:val="24"/>
        </w:rPr>
        <w:t>Computation of Adsorption Free Energies</w:t>
      </w:r>
    </w:p>
    <w:p w14:paraId="42669D90" w14:textId="336074A2" w:rsidR="00A92AF4" w:rsidRDefault="00000000" w:rsidP="00362A16">
      <w:pPr>
        <w:spacing w:line="360" w:lineRule="auto"/>
        <w:rPr>
          <w:rFonts w:ascii="Times New Roman" w:hAnsi="Times New Roman" w:cs="Times New Roman"/>
        </w:rPr>
      </w:pPr>
      <w:r>
        <w:rPr>
          <w:rFonts w:ascii="Times New Roman" w:hAnsi="Times New Roman" w:cs="Times New Roman" w:hint="eastAsia"/>
        </w:rPr>
        <w:t xml:space="preserve">After successfully creating a slab module for the surface and placing an adsorbate on it as an initial guess, the relaxation of the lowest energy geometry can be performed. </w:t>
      </w:r>
      <w:r w:rsidR="00041B46">
        <w:rPr>
          <w:rFonts w:ascii="Times New Roman" w:hAnsi="Times New Roman" w:cs="Times New Roman" w:hint="eastAsia"/>
        </w:rPr>
        <w:t>A</w:t>
      </w:r>
      <w:r>
        <w:rPr>
          <w:rFonts w:ascii="Times New Roman" w:hAnsi="Times New Roman" w:cs="Times New Roman" w:hint="eastAsia"/>
        </w:rPr>
        <w:t>d</w:t>
      </w:r>
      <w:r>
        <w:rPr>
          <w:rFonts w:ascii="Times New Roman" w:hAnsi="Times New Roman" w:cs="Times New Roman"/>
        </w:rPr>
        <w:t>sorption free energies were then obtained as a sum of the GEMNET-</w:t>
      </w:r>
      <w:r>
        <w:rPr>
          <w:rFonts w:ascii="Times New Roman" w:hAnsi="Times New Roman" w:cs="Times New Roman" w:hint="eastAsia"/>
        </w:rPr>
        <w:t>DT</w:t>
      </w:r>
      <w:r>
        <w:rPr>
          <w:rFonts w:ascii="Times New Roman" w:hAnsi="Times New Roman" w:cs="Times New Roman"/>
        </w:rPr>
        <w:t xml:space="preserve"> adsorption energy and the vibrational contributions. These computations were driven using the thermochemistry module of ASE</w:t>
      </w:r>
      <w:r>
        <w:rPr>
          <w:rFonts w:ascii="Times New Roman" w:hAnsi="Times New Roman" w:cs="Times New Roman" w:hint="eastAsia"/>
        </w:rPr>
        <w:t xml:space="preserve"> (</w:t>
      </w:r>
      <w:r>
        <w:rPr>
          <w:rFonts w:ascii="Times New Roman" w:hAnsi="Times New Roman" w:cs="Times New Roman"/>
        </w:rPr>
        <w:t>https://wiki.fysik.dtu.dk/ase/ase/thermochemistry/thermochemistry.html</w:t>
      </w:r>
      <w:r>
        <w:rPr>
          <w:rFonts w:ascii="Times New Roman" w:hAnsi="Times New Roman" w:cs="Times New Roman" w:hint="eastAsia"/>
        </w:rPr>
        <w:t>).</w:t>
      </w:r>
    </w:p>
    <w:p w14:paraId="75B78742" w14:textId="77777777" w:rsidR="00A92AF4" w:rsidRDefault="00A92AF4">
      <w:pPr>
        <w:spacing w:line="360" w:lineRule="auto"/>
        <w:rPr>
          <w:rFonts w:ascii="Times New Roman" w:hAnsi="Times New Roman" w:cs="Times New Roman"/>
          <w:sz w:val="20"/>
          <w:szCs w:val="20"/>
        </w:rPr>
      </w:pPr>
    </w:p>
    <w:p w14:paraId="1CCCE90A" w14:textId="77777777" w:rsidR="00A92AF4" w:rsidRDefault="00000000">
      <w:pPr>
        <w:pStyle w:val="afa"/>
        <w:numPr>
          <w:ilvl w:val="0"/>
          <w:numId w:val="1"/>
        </w:numPr>
        <w:spacing w:line="360" w:lineRule="auto"/>
        <w:jc w:val="left"/>
        <w:rPr>
          <w:rFonts w:ascii="Times New Roman" w:hAnsi="Times New Roman"/>
          <w:b/>
          <w:bCs/>
          <w:sz w:val="24"/>
          <w:szCs w:val="24"/>
        </w:rPr>
      </w:pPr>
      <w:r>
        <w:rPr>
          <w:rFonts w:ascii="Times New Roman" w:hAnsi="Times New Roman" w:hint="eastAsia"/>
          <w:b/>
          <w:bCs/>
          <w:sz w:val="24"/>
          <w:szCs w:val="24"/>
        </w:rPr>
        <w:t>Module Tuning and DFT Calculations</w:t>
      </w:r>
    </w:p>
    <w:p w14:paraId="461842D4" w14:textId="6D7BD9B8" w:rsidR="00A92AF4" w:rsidRDefault="00000000" w:rsidP="00362A16">
      <w:pPr>
        <w:spacing w:line="360" w:lineRule="auto"/>
        <w:rPr>
          <w:rFonts w:ascii="Times New Roman" w:hAnsi="Times New Roman" w:cs="Times New Roman" w:hint="eastAsia"/>
        </w:rPr>
      </w:pPr>
      <w:r>
        <w:rPr>
          <w:rFonts w:ascii="Times New Roman" w:hAnsi="Times New Roman" w:cs="Times New Roman" w:hint="eastAsia"/>
        </w:rPr>
        <w:t xml:space="preserve">To further prove that the module applied is reliable, DFT calculation is a crucial step. In this step, the number of layers, effects of relaxation and unit cell size etc. shall be in consideration and finally formula1 is applied to generate the accurate value (specifically speaking, VASP was the </w:t>
      </w:r>
      <w:r>
        <w:rPr>
          <w:rFonts w:ascii="Times New Roman" w:hAnsi="Times New Roman" w:cs="Times New Roman" w:hint="eastAsia"/>
        </w:rPr>
        <w:lastRenderedPageBreak/>
        <w:t>main tool applied). The given results shall be fed back to the original calculation module as a test group thus further tun</w:t>
      </w:r>
      <w:proofErr w:type="spellStart"/>
      <w:r>
        <w:rPr>
          <w:rFonts w:ascii="Times New Roman" w:hAnsi="Times New Roman" w:cs="Times New Roman" w:hint="eastAsia"/>
          <w:lang w:val="en-US"/>
        </w:rPr>
        <w:t>ing</w:t>
      </w:r>
      <w:proofErr w:type="spellEnd"/>
      <w:r>
        <w:rPr>
          <w:rFonts w:ascii="Times New Roman" w:hAnsi="Times New Roman" w:cs="Times New Roman" w:hint="eastAsia"/>
        </w:rPr>
        <w:t xml:space="preserve"> it theoretically.</w:t>
      </w:r>
    </w:p>
    <w:p w14:paraId="1BDE93A2" w14:textId="77777777" w:rsidR="00A92AF4" w:rsidRDefault="00000000" w:rsidP="00CE7DDC">
      <w:pPr>
        <w:spacing w:line="360" w:lineRule="auto"/>
        <w:jc w:val="center"/>
        <w:rPr>
          <w:rFonts w:hint="eastAsia"/>
        </w:rPr>
      </w:pPr>
      <w:r>
        <w:rPr>
          <w:noProof/>
        </w:rPr>
        <w:drawing>
          <wp:inline distT="0" distB="0" distL="114300" distR="114300" wp14:anchorId="7F35A0B2" wp14:editId="4762D76F">
            <wp:extent cx="4657725" cy="50482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657725" cy="504825"/>
                    </a:xfrm>
                    <a:prstGeom prst="rect">
                      <a:avLst/>
                    </a:prstGeom>
                    <a:noFill/>
                    <a:ln>
                      <a:noFill/>
                    </a:ln>
                  </pic:spPr>
                </pic:pic>
              </a:graphicData>
            </a:graphic>
          </wp:inline>
        </w:drawing>
      </w:r>
    </w:p>
    <w:p w14:paraId="4E004BA0" w14:textId="5D39E176" w:rsidR="00CE7DDC" w:rsidRPr="00CE7DDC" w:rsidRDefault="00CE7DDC" w:rsidP="00CE7DDC">
      <w:pPr>
        <w:spacing w:line="360" w:lineRule="auto"/>
        <w:jc w:val="center"/>
        <w:rPr>
          <w:rFonts w:ascii="Times New Roman" w:hAnsi="Times New Roman" w:cs="Times New Roman"/>
          <w:b/>
          <w:bCs/>
          <w:sz w:val="20"/>
          <w:szCs w:val="20"/>
          <w:lang w:val="en-US"/>
        </w:rPr>
      </w:pPr>
      <w:r w:rsidRPr="00CE7DDC">
        <w:rPr>
          <w:rFonts w:ascii="Times New Roman" w:hAnsi="Times New Roman" w:cs="Times New Roman"/>
          <w:b/>
          <w:bCs/>
          <w:sz w:val="20"/>
          <w:szCs w:val="20"/>
        </w:rPr>
        <w:t>F</w:t>
      </w:r>
      <w:r w:rsidRPr="00CE7DDC">
        <w:rPr>
          <w:rFonts w:ascii="Times New Roman" w:hAnsi="Times New Roman" w:cs="Times New Roman" w:hint="eastAsia"/>
          <w:b/>
          <w:bCs/>
          <w:sz w:val="20"/>
          <w:szCs w:val="20"/>
        </w:rPr>
        <w:t>ormula</w:t>
      </w:r>
      <w:r w:rsidRPr="00CE7DDC">
        <w:rPr>
          <w:rFonts w:ascii="Times New Roman" w:hAnsi="Times New Roman" w:cs="Times New Roman" w:hint="eastAsia"/>
          <w:b/>
          <w:bCs/>
          <w:sz w:val="20"/>
          <w:szCs w:val="20"/>
          <w:lang w:val="en-US"/>
        </w:rPr>
        <w:t xml:space="preserve"> 1 </w:t>
      </w:r>
      <w:r w:rsidRPr="00CE7DDC">
        <w:rPr>
          <w:rFonts w:ascii="Times New Roman" w:hAnsi="Times New Roman" w:cs="Times New Roman" w:hint="eastAsia"/>
          <w:sz w:val="20"/>
          <w:szCs w:val="20"/>
          <w:lang w:val="en-US"/>
        </w:rPr>
        <w:t>Schrodinger's equation</w:t>
      </w:r>
    </w:p>
    <w:p w14:paraId="599E5AA3" w14:textId="348001B8" w:rsidR="00A92AF4" w:rsidRDefault="00A92AF4">
      <w:pPr>
        <w:spacing w:line="360" w:lineRule="auto"/>
        <w:rPr>
          <w:rFonts w:ascii="Times New Roman" w:hAnsi="Times New Roman" w:cs="Times New Roman"/>
        </w:rPr>
      </w:pPr>
    </w:p>
    <w:p w14:paraId="28214DD9" w14:textId="0F55F880" w:rsidR="0071280C" w:rsidRPr="0071280C" w:rsidRDefault="0071280C" w:rsidP="0071280C">
      <w:pPr>
        <w:spacing w:before="60" w:after="60" w:line="360" w:lineRule="auto"/>
        <w:rPr>
          <w:rFonts w:ascii="Times New Roman" w:eastAsia="微软雅黑" w:hint="eastAsia"/>
          <w:b/>
          <w:bCs/>
          <w:sz w:val="28"/>
          <w:lang w:val="en-US"/>
        </w:rPr>
      </w:pPr>
      <w:r>
        <w:rPr>
          <w:rFonts w:ascii="Times New Roman" w:eastAsia="微软雅黑" w:hint="eastAsia"/>
          <w:b/>
          <w:bCs/>
          <w:sz w:val="28"/>
          <w:lang w:val="en-US"/>
        </w:rPr>
        <w:t>3</w:t>
      </w:r>
      <w:r>
        <w:rPr>
          <w:rFonts w:ascii="Times New Roman" w:eastAsia="微软雅黑" w:hint="eastAsia"/>
          <w:b/>
          <w:bCs/>
          <w:sz w:val="28"/>
          <w:lang w:val="en-US"/>
        </w:rPr>
        <w:t xml:space="preserve"> </w:t>
      </w:r>
      <w:r>
        <w:rPr>
          <w:rFonts w:ascii="Times New Roman" w:eastAsia="微软雅黑" w:hint="eastAsia"/>
          <w:b/>
          <w:bCs/>
          <w:sz w:val="28"/>
          <w:lang w:val="en-US"/>
        </w:rPr>
        <w:t>Results</w:t>
      </w:r>
    </w:p>
    <w:p w14:paraId="1C707890" w14:textId="115A1FA7" w:rsidR="00A92AF4" w:rsidRPr="00CE2A5D" w:rsidRDefault="00000000" w:rsidP="00362A16">
      <w:pPr>
        <w:spacing w:line="360" w:lineRule="auto"/>
        <w:rPr>
          <w:rFonts w:ascii="Times New Roman" w:hAnsi="Times New Roman" w:cs="Times New Roman"/>
          <w:lang w:val="en-US"/>
        </w:rPr>
      </w:pPr>
      <w:r>
        <w:rPr>
          <w:rFonts w:ascii="Times New Roman" w:hAnsi="Times New Roman" w:cs="Times New Roman"/>
        </w:rPr>
        <w:t xml:space="preserve">GEMNET-DT is used to predict the adsorption energy of hydrogen. In all possible alloy structures of nickel-phosphorus alloy and cobalt-platinum alloy, the section mode with low adsorption energy and the adsorption site </w:t>
      </w:r>
      <w:r w:rsidR="00464BA9">
        <w:rPr>
          <w:rFonts w:ascii="Times New Roman" w:hAnsi="Times New Roman" w:cs="Times New Roman"/>
        </w:rPr>
        <w:t xml:space="preserve">of </w:t>
      </w:r>
      <w:r w:rsidR="00464BA9">
        <w:rPr>
          <w:rFonts w:ascii="Times New Roman" w:hAnsi="Times New Roman" w:cs="Times New Roman"/>
          <w:lang w:val="en-US"/>
        </w:rPr>
        <w:t>hydrogen</w:t>
      </w:r>
      <w:r>
        <w:rPr>
          <w:rFonts w:ascii="Times New Roman" w:hAnsi="Times New Roman" w:cs="Times New Roman"/>
        </w:rPr>
        <w:t xml:space="preserve"> atom were selected and visualized. Part of the results were shown in Figure </w:t>
      </w:r>
      <w:r>
        <w:rPr>
          <w:rFonts w:ascii="Times New Roman" w:hAnsi="Times New Roman" w:cs="Times New Roman" w:hint="eastAsia"/>
          <w:lang w:val="en-US"/>
        </w:rPr>
        <w:t>3</w:t>
      </w:r>
      <w:r w:rsidR="00464BA9">
        <w:rPr>
          <w:rFonts w:ascii="Times New Roman" w:hAnsi="Times New Roman" w:cs="Times New Roman" w:hint="eastAsia"/>
          <w:lang w:val="en-US"/>
        </w:rPr>
        <w:t>.</w:t>
      </w:r>
    </w:p>
    <w:p w14:paraId="758BB0AC" w14:textId="7D6157D8" w:rsidR="00A92AF4" w:rsidRDefault="00CE2A5D" w:rsidP="00CE2A5D">
      <w:pPr>
        <w:spacing w:line="360" w:lineRule="auto"/>
        <w:jc w:val="center"/>
        <w:rPr>
          <w:rFonts w:hint="eastAsia"/>
        </w:rPr>
      </w:pPr>
      <w:r>
        <w:rPr>
          <w:rFonts w:hint="eastAsia"/>
          <w:noProof/>
        </w:rPr>
        <w:drawing>
          <wp:inline distT="0" distB="0" distL="0" distR="0" wp14:anchorId="6D1E7542" wp14:editId="3A7F5D3A">
            <wp:extent cx="2292267" cy="1717557"/>
            <wp:effectExtent l="0" t="0" r="0" b="0"/>
            <wp:docPr id="174940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1057" cy="1724143"/>
                    </a:xfrm>
                    <a:prstGeom prst="rect">
                      <a:avLst/>
                    </a:prstGeom>
                    <a:noFill/>
                  </pic:spPr>
                </pic:pic>
              </a:graphicData>
            </a:graphic>
          </wp:inline>
        </w:drawing>
      </w:r>
      <w:r>
        <w:rPr>
          <w:rFonts w:hint="eastAsia"/>
          <w:noProof/>
        </w:rPr>
        <w:drawing>
          <wp:inline distT="0" distB="0" distL="0" distR="0" wp14:anchorId="393AF62F" wp14:editId="36566CE5">
            <wp:extent cx="2291715" cy="1723832"/>
            <wp:effectExtent l="0" t="0" r="0" b="0"/>
            <wp:docPr id="824260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8730" cy="1729108"/>
                    </a:xfrm>
                    <a:prstGeom prst="rect">
                      <a:avLst/>
                    </a:prstGeom>
                    <a:noFill/>
                  </pic:spPr>
                </pic:pic>
              </a:graphicData>
            </a:graphic>
          </wp:inline>
        </w:drawing>
      </w:r>
    </w:p>
    <w:p w14:paraId="2375F29C" w14:textId="4F27FE69" w:rsidR="00CE2A5D" w:rsidRPr="00CE2A5D" w:rsidRDefault="00CE2A5D" w:rsidP="00CE2A5D">
      <w:pPr>
        <w:spacing w:line="360" w:lineRule="auto"/>
        <w:jc w:val="center"/>
        <w:rPr>
          <w:rFonts w:ascii="Times New Roman" w:hAnsi="Times New Roman" w:cs="Times New Roman"/>
          <w:b/>
          <w:bCs/>
          <w:sz w:val="20"/>
          <w:szCs w:val="20"/>
          <w:lang w:val="en-US"/>
        </w:rPr>
      </w:pPr>
      <w:r w:rsidRPr="00CE2A5D">
        <w:rPr>
          <w:rFonts w:ascii="Times New Roman" w:hAnsi="Times New Roman" w:cs="Times New Roman" w:hint="eastAsia"/>
          <w:b/>
          <w:bCs/>
          <w:sz w:val="20"/>
          <w:szCs w:val="20"/>
          <w:lang w:val="en-US"/>
        </w:rPr>
        <w:t xml:space="preserve">Figure 3 </w:t>
      </w:r>
      <w:r w:rsidRPr="00CE2A5D">
        <w:rPr>
          <w:rFonts w:ascii="Times New Roman" w:hAnsi="Times New Roman" w:cs="Times New Roman" w:hint="eastAsia"/>
          <w:sz w:val="20"/>
          <w:szCs w:val="20"/>
          <w:lang w:val="en-US"/>
        </w:rPr>
        <w:t>Attachment points</w:t>
      </w:r>
    </w:p>
    <w:p w14:paraId="0B05A2E9" w14:textId="77777777" w:rsidR="00A92AF4" w:rsidRDefault="00A92AF4">
      <w:pPr>
        <w:spacing w:line="360" w:lineRule="auto"/>
        <w:rPr>
          <w:rFonts w:hint="eastAsia"/>
        </w:rPr>
      </w:pPr>
    </w:p>
    <w:p w14:paraId="724771D3" w14:textId="77777777" w:rsidR="00A92AF4" w:rsidRDefault="00000000" w:rsidP="00362A16">
      <w:pPr>
        <w:spacing w:line="360" w:lineRule="auto"/>
        <w:rPr>
          <w:rFonts w:ascii="Times New Roman" w:hAnsi="Times New Roman" w:cs="Times New Roman"/>
        </w:rPr>
      </w:pPr>
      <w:r>
        <w:rPr>
          <w:rFonts w:ascii="Times New Roman" w:hAnsi="Times New Roman" w:cs="Times New Roman" w:hint="eastAsia"/>
        </w:rPr>
        <w:t xml:space="preserve">Then, we </w:t>
      </w:r>
      <w:proofErr w:type="spellStart"/>
      <w:r>
        <w:rPr>
          <w:rFonts w:ascii="Times New Roman" w:hAnsi="Times New Roman" w:cs="Times New Roman" w:hint="eastAsia"/>
        </w:rPr>
        <w:t>analyzed</w:t>
      </w:r>
      <w:proofErr w:type="spellEnd"/>
      <w:r>
        <w:rPr>
          <w:rFonts w:ascii="Times New Roman" w:hAnsi="Times New Roman" w:cs="Times New Roman" w:hint="eastAsia"/>
        </w:rPr>
        <w:t xml:space="preserve"> the catalyst properties of various alloy sections by comparing the energy changes before and after hydrogen adsorption. Among all possible alloy structures, the hydrogen atom adsorption energy of Ni2P and CoPt3 alloy sections is -0.01eV and -0.03eV respectively, indicating relatively good catalyst performance (see Figure </w:t>
      </w:r>
      <w:r>
        <w:rPr>
          <w:rFonts w:ascii="Times New Roman" w:hAnsi="Times New Roman" w:cs="Times New Roman" w:hint="eastAsia"/>
          <w:lang w:val="en-US"/>
        </w:rPr>
        <w:t>4</w:t>
      </w:r>
      <w:r>
        <w:rPr>
          <w:rFonts w:ascii="Times New Roman" w:hAnsi="Times New Roman" w:cs="Times New Roman" w:hint="eastAsia"/>
        </w:rPr>
        <w:t>).</w:t>
      </w:r>
    </w:p>
    <w:p w14:paraId="39E699CC" w14:textId="77777777" w:rsidR="00A92AF4" w:rsidRDefault="00A92AF4">
      <w:pPr>
        <w:spacing w:line="360" w:lineRule="auto"/>
        <w:rPr>
          <w:rFonts w:ascii="Times New Roman" w:hAnsi="Times New Roman" w:cs="Times New Roman"/>
        </w:rPr>
      </w:pPr>
    </w:p>
    <w:p w14:paraId="592801CA" w14:textId="77777777" w:rsidR="00A92AF4" w:rsidRDefault="00000000">
      <w:pPr>
        <w:spacing w:line="360" w:lineRule="auto"/>
        <w:jc w:val="center"/>
        <w:rPr>
          <w:rFonts w:hint="eastAsia"/>
        </w:rPr>
      </w:pPr>
      <w:r>
        <w:rPr>
          <w:rFonts w:hint="eastAsia"/>
          <w:noProof/>
        </w:rPr>
        <w:lastRenderedPageBreak/>
        <w:drawing>
          <wp:inline distT="0" distB="0" distL="114300" distR="114300" wp14:anchorId="7C3F0F28" wp14:editId="4EB98567">
            <wp:extent cx="3673174" cy="1915138"/>
            <wp:effectExtent l="0" t="0" r="3810" b="9525"/>
            <wp:docPr id="4" name="图片 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2"/>
                    <pic:cNvPicPr>
                      <a:picLocks noChangeAspect="1"/>
                    </pic:cNvPicPr>
                  </pic:nvPicPr>
                  <pic:blipFill>
                    <a:blip r:embed="rId16"/>
                    <a:stretch>
                      <a:fillRect/>
                    </a:stretch>
                  </pic:blipFill>
                  <pic:spPr>
                    <a:xfrm>
                      <a:off x="0" y="0"/>
                      <a:ext cx="3684847" cy="1921224"/>
                    </a:xfrm>
                    <a:prstGeom prst="rect">
                      <a:avLst/>
                    </a:prstGeom>
                  </pic:spPr>
                </pic:pic>
              </a:graphicData>
            </a:graphic>
          </wp:inline>
        </w:drawing>
      </w:r>
    </w:p>
    <w:p w14:paraId="3EBB4245" w14:textId="23F846E2" w:rsidR="00CE2A5D" w:rsidRPr="00CE2A5D" w:rsidRDefault="00CE2A5D" w:rsidP="00CE2A5D">
      <w:pPr>
        <w:spacing w:line="360" w:lineRule="auto"/>
        <w:jc w:val="center"/>
        <w:rPr>
          <w:rFonts w:ascii="Times New Roman" w:hAnsi="Times New Roman" w:cs="Times New Roman"/>
          <w:b/>
          <w:bCs/>
          <w:sz w:val="20"/>
          <w:szCs w:val="20"/>
          <w:lang w:val="en-US"/>
        </w:rPr>
      </w:pPr>
      <w:r w:rsidRPr="00CE2A5D">
        <w:rPr>
          <w:rFonts w:ascii="Times New Roman" w:hAnsi="Times New Roman" w:cs="Times New Roman" w:hint="eastAsia"/>
          <w:b/>
          <w:bCs/>
          <w:sz w:val="20"/>
          <w:szCs w:val="20"/>
          <w:lang w:val="en-US"/>
        </w:rPr>
        <w:t xml:space="preserve">Figure 4 </w:t>
      </w:r>
      <w:r w:rsidRPr="00CE2A5D">
        <w:rPr>
          <w:rFonts w:ascii="Times New Roman" w:hAnsi="Times New Roman" w:cs="Times New Roman" w:hint="eastAsia"/>
          <w:sz w:val="20"/>
          <w:szCs w:val="20"/>
        </w:rPr>
        <w:t>hydrogen atom adsorption energy</w:t>
      </w:r>
    </w:p>
    <w:p w14:paraId="6ED999F7" w14:textId="77777777" w:rsidR="00A92AF4" w:rsidRDefault="00A92AF4">
      <w:pPr>
        <w:spacing w:line="360" w:lineRule="auto"/>
        <w:rPr>
          <w:rFonts w:ascii="Times New Roman" w:hAnsi="Times New Roman" w:cs="Times New Roman"/>
        </w:rPr>
      </w:pPr>
    </w:p>
    <w:p w14:paraId="2CF4950A" w14:textId="418A990C" w:rsidR="00A92AF4" w:rsidRDefault="00000000" w:rsidP="00362A16">
      <w:pPr>
        <w:spacing w:line="360" w:lineRule="auto"/>
        <w:rPr>
          <w:rFonts w:ascii="Times New Roman" w:hAnsi="Times New Roman" w:cs="Times New Roman" w:hint="eastAsia"/>
        </w:rPr>
      </w:pPr>
      <w:r>
        <w:rPr>
          <w:rFonts w:ascii="Times New Roman" w:hAnsi="Times New Roman" w:cs="Times New Roman" w:hint="eastAsia"/>
        </w:rPr>
        <w:t xml:space="preserve">However, when we used the crystal data for DFT calculations, the data results of some crystal sections were found to be divergent, that is, these crystal interfaces are not actually available. Therefore, we conducted </w:t>
      </w:r>
      <w:r>
        <w:rPr>
          <w:rFonts w:ascii="Times New Roman" w:hAnsi="Times New Roman" w:cs="Times New Roman" w:hint="eastAsia"/>
          <w:lang w:val="en-US"/>
        </w:rPr>
        <w:t xml:space="preserve">the </w:t>
      </w:r>
      <w:r>
        <w:rPr>
          <w:rFonts w:ascii="Times New Roman" w:hAnsi="Times New Roman" w:cs="Times New Roman" w:hint="eastAsia"/>
        </w:rPr>
        <w:t>secondary screening of the obtained crystal structure, removing some of the inaccessible crystal sections and some of the adsorption sites whose adsorption energy was too small and thus the calculation error was too great.</w:t>
      </w:r>
      <w:r w:rsidR="00BA553D">
        <w:rPr>
          <w:rFonts w:ascii="Times New Roman" w:hAnsi="Times New Roman" w:cs="Times New Roman" w:hint="eastAsia"/>
        </w:rPr>
        <w:t xml:space="preserve"> Figure 5 shows the DFT </w:t>
      </w:r>
      <w:r w:rsidR="00BA553D">
        <w:rPr>
          <w:rFonts w:ascii="Times New Roman" w:hAnsi="Times New Roman" w:cs="Times New Roman"/>
        </w:rPr>
        <w:t>calculation</w:t>
      </w:r>
      <w:r w:rsidR="00BA553D">
        <w:rPr>
          <w:rFonts w:ascii="Times New Roman" w:hAnsi="Times New Roman" w:cs="Times New Roman" w:hint="eastAsia"/>
        </w:rPr>
        <w:t xml:space="preserve"> of one slab example.</w:t>
      </w:r>
    </w:p>
    <w:p w14:paraId="2EC654F6" w14:textId="3ECF06E7" w:rsidR="00B90ABF" w:rsidRDefault="00B90ABF" w:rsidP="00B90ABF">
      <w:pPr>
        <w:spacing w:line="360" w:lineRule="auto"/>
        <w:ind w:firstLine="720"/>
        <w:jc w:val="center"/>
        <w:rPr>
          <w:rFonts w:ascii="Times New Roman" w:hAnsi="Times New Roman" w:cs="Times New Roman"/>
        </w:rPr>
      </w:pPr>
      <w:r w:rsidRPr="00B90ABF">
        <w:rPr>
          <w:rFonts w:ascii="Times New Roman" w:hAnsi="Times New Roman" w:cs="Times New Roman"/>
          <w:noProof/>
        </w:rPr>
        <w:drawing>
          <wp:inline distT="0" distB="0" distL="0" distR="0" wp14:anchorId="066CC2FF" wp14:editId="125AABFF">
            <wp:extent cx="3286117" cy="2596379"/>
            <wp:effectExtent l="0" t="0" r="0" b="0"/>
            <wp:docPr id="188483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456" cy="2599018"/>
                    </a:xfrm>
                    <a:prstGeom prst="rect">
                      <a:avLst/>
                    </a:prstGeom>
                    <a:noFill/>
                    <a:ln>
                      <a:noFill/>
                    </a:ln>
                  </pic:spPr>
                </pic:pic>
              </a:graphicData>
            </a:graphic>
          </wp:inline>
        </w:drawing>
      </w:r>
    </w:p>
    <w:p w14:paraId="7BDD96A2" w14:textId="540AB587" w:rsidR="00BA553D" w:rsidRPr="00BA553D" w:rsidRDefault="00BA553D" w:rsidP="00BA553D">
      <w:pPr>
        <w:spacing w:line="360" w:lineRule="auto"/>
        <w:jc w:val="center"/>
        <w:rPr>
          <w:rFonts w:ascii="Times New Roman" w:hAnsi="Times New Roman" w:cs="Times New Roman" w:hint="eastAsia"/>
          <w:b/>
          <w:bCs/>
          <w:sz w:val="20"/>
          <w:szCs w:val="20"/>
          <w:lang w:val="en-US"/>
        </w:rPr>
      </w:pPr>
      <w:r w:rsidRPr="00CE2A5D">
        <w:rPr>
          <w:rFonts w:ascii="Times New Roman" w:hAnsi="Times New Roman" w:cs="Times New Roman" w:hint="eastAsia"/>
          <w:b/>
          <w:bCs/>
          <w:sz w:val="20"/>
          <w:szCs w:val="20"/>
          <w:lang w:val="en-US"/>
        </w:rPr>
        <w:t xml:space="preserve">Figure </w:t>
      </w:r>
      <w:r>
        <w:rPr>
          <w:rFonts w:ascii="Times New Roman" w:hAnsi="Times New Roman" w:cs="Times New Roman" w:hint="eastAsia"/>
          <w:b/>
          <w:bCs/>
          <w:sz w:val="20"/>
          <w:szCs w:val="20"/>
          <w:lang w:val="en-US"/>
        </w:rPr>
        <w:t>5</w:t>
      </w:r>
      <w:r w:rsidRPr="00CE2A5D">
        <w:rPr>
          <w:rFonts w:ascii="Times New Roman" w:hAnsi="Times New Roman" w:cs="Times New Roman" w:hint="eastAsia"/>
          <w:b/>
          <w:bCs/>
          <w:sz w:val="20"/>
          <w:szCs w:val="20"/>
          <w:lang w:val="en-US"/>
        </w:rPr>
        <w:t xml:space="preserve"> </w:t>
      </w:r>
      <w:r>
        <w:rPr>
          <w:rFonts w:ascii="Times New Roman" w:hAnsi="Times New Roman" w:cs="Times New Roman" w:hint="eastAsia"/>
          <w:sz w:val="20"/>
          <w:szCs w:val="20"/>
        </w:rPr>
        <w:t xml:space="preserve">DFT </w:t>
      </w:r>
      <w:r w:rsidRPr="00BA553D">
        <w:rPr>
          <w:rFonts w:ascii="Times New Roman" w:hAnsi="Times New Roman" w:cs="Times New Roman"/>
          <w:sz w:val="20"/>
          <w:szCs w:val="20"/>
        </w:rPr>
        <w:t>calculation</w:t>
      </w:r>
    </w:p>
    <w:p w14:paraId="7B578418" w14:textId="12FA2194" w:rsidR="00165565" w:rsidRDefault="001D6866" w:rsidP="00362A16">
      <w:pPr>
        <w:spacing w:line="360" w:lineRule="auto"/>
        <w:rPr>
          <w:rFonts w:ascii="Times New Roman" w:hAnsi="Times New Roman" w:cs="Times New Roman"/>
        </w:rPr>
      </w:pPr>
      <w:r>
        <w:rPr>
          <w:rFonts w:ascii="Times New Roman" w:hAnsi="Times New Roman" w:cs="Times New Roman" w:hint="eastAsia"/>
        </w:rPr>
        <w:t>T</w:t>
      </w:r>
      <w:r w:rsidR="0010546D" w:rsidRPr="0010546D">
        <w:rPr>
          <w:rFonts w:ascii="Times New Roman" w:hAnsi="Times New Roman" w:cs="Times New Roman"/>
        </w:rPr>
        <w:t xml:space="preserve">o further adjust the model parameters, </w:t>
      </w:r>
      <w:r>
        <w:rPr>
          <w:rFonts w:ascii="Times New Roman" w:hAnsi="Times New Roman" w:cs="Times New Roman" w:hint="eastAsia"/>
        </w:rPr>
        <w:t xml:space="preserve">we </w:t>
      </w:r>
      <w:r w:rsidR="0010546D" w:rsidRPr="0010546D">
        <w:rPr>
          <w:rFonts w:ascii="Times New Roman" w:hAnsi="Times New Roman" w:cs="Times New Roman"/>
        </w:rPr>
        <w:t xml:space="preserve">keep the number of layers at 6, fix the bottom 5 layers for optimization, and apply wide wrapping to the crystals. </w:t>
      </w:r>
      <w:r w:rsidR="0010546D">
        <w:rPr>
          <w:rFonts w:ascii="Times New Roman" w:hAnsi="Times New Roman" w:cs="Times New Roman" w:hint="eastAsia"/>
        </w:rPr>
        <w:t>C</w:t>
      </w:r>
      <w:r w:rsidR="0010546D" w:rsidRPr="0010546D">
        <w:rPr>
          <w:rFonts w:ascii="Times New Roman" w:hAnsi="Times New Roman" w:cs="Times New Roman"/>
        </w:rPr>
        <w:t>onsidering the poor adaptability of the GEMNET model in hydrogen atom adsorption, the model was adjusted to EquiformerV2-83M-S2EF-OC20-2M</w:t>
      </w:r>
      <w:r w:rsidR="0010546D">
        <w:rPr>
          <w:rFonts w:ascii="Times New Roman" w:hAnsi="Times New Roman" w:cs="Times New Roman" w:hint="eastAsia"/>
        </w:rPr>
        <w:t>.</w:t>
      </w:r>
      <w:r w:rsidR="0010546D" w:rsidRPr="0010546D">
        <w:rPr>
          <w:rFonts w:ascii="Times New Roman" w:hAnsi="Times New Roman" w:cs="Times New Roman"/>
        </w:rPr>
        <w:t xml:space="preserve"> At the same time, we plotted the plot of the unit cell slice number and the </w:t>
      </w:r>
      <w:r w:rsidR="0010546D" w:rsidRPr="0010546D">
        <w:rPr>
          <w:rFonts w:ascii="Times New Roman" w:hAnsi="Times New Roman" w:cs="Times New Roman"/>
        </w:rPr>
        <w:lastRenderedPageBreak/>
        <w:t>adsorption energy of each hydrogen atom, and used the clustering algorithm to find out the relationship between the Miller index and the adsorption energy of hydrogen atoms.</w:t>
      </w:r>
    </w:p>
    <w:p w14:paraId="5807B5E6" w14:textId="43894A48" w:rsidR="00BA553D" w:rsidRDefault="00165565" w:rsidP="00362A16">
      <w:pPr>
        <w:spacing w:line="360" w:lineRule="auto"/>
        <w:rPr>
          <w:rFonts w:ascii="Times New Roman" w:hAnsi="Times New Roman" w:cs="Times New Roman"/>
          <w:sz w:val="36"/>
          <w:szCs w:val="36"/>
          <w:lang w:val="en-US"/>
        </w:rPr>
      </w:pPr>
      <w:r w:rsidRPr="0010546D">
        <w:rPr>
          <w:rFonts w:ascii="Times New Roman" w:hAnsi="Times New Roman" w:cs="Times New Roman"/>
        </w:rPr>
        <w:t>Due to the lack of computing power of the personal computer, we were unable to perform further training on all the screened crystals</w:t>
      </w:r>
      <w:r>
        <w:rPr>
          <w:rFonts w:ascii="Times New Roman" w:hAnsi="Times New Roman" w:cs="Times New Roman" w:hint="eastAsia"/>
        </w:rPr>
        <w:t xml:space="preserve">. </w:t>
      </w:r>
      <w:r w:rsidR="0010546D">
        <w:rPr>
          <w:rFonts w:ascii="Times New Roman" w:hAnsi="Times New Roman" w:cs="Times New Roman" w:hint="eastAsia"/>
        </w:rPr>
        <w:t xml:space="preserve">Figure </w:t>
      </w:r>
      <w:r w:rsidR="00BA553D">
        <w:rPr>
          <w:rFonts w:ascii="Times New Roman" w:hAnsi="Times New Roman" w:cs="Times New Roman" w:hint="eastAsia"/>
        </w:rPr>
        <w:t>6</w:t>
      </w:r>
      <w:r w:rsidR="0010546D">
        <w:rPr>
          <w:rFonts w:ascii="Times New Roman" w:hAnsi="Times New Roman" w:cs="Times New Roman" w:hint="eastAsia"/>
        </w:rPr>
        <w:t xml:space="preserve"> shows the </w:t>
      </w:r>
      <w:r w:rsidR="0010546D">
        <w:rPr>
          <w:rFonts w:ascii="Times New Roman" w:hAnsi="Times New Roman" w:cs="Times New Roman" w:hint="eastAsia"/>
          <w:lang w:val="en-US"/>
        </w:rPr>
        <w:t>b</w:t>
      </w:r>
      <w:r w:rsidR="0010546D" w:rsidRPr="0010546D">
        <w:rPr>
          <w:rFonts w:ascii="Times New Roman" w:hAnsi="Times New Roman" w:cs="Times New Roman"/>
          <w:lang w:val="en-US"/>
        </w:rPr>
        <w:t xml:space="preserve">ox plots of energy values for different Miller indices of </w:t>
      </w:r>
      <m:oMath>
        <m:sSub>
          <m:sSubPr>
            <m:ctrlPr>
              <w:rPr>
                <w:rFonts w:ascii="Cambria Math" w:eastAsia="等线" w:hAnsi="Cambria Math" w:cs="Times New Roman"/>
                <w:i/>
                <w:iCs/>
                <w:color w:val="000000"/>
                <w:kern w:val="24"/>
              </w:rPr>
            </m:ctrlPr>
          </m:sSubPr>
          <m:e>
            <m:r>
              <w:rPr>
                <w:rFonts w:ascii="Cambria Math" w:eastAsia="等线" w:hAnsi="Cambria Math" w:cs="Times New Roman"/>
                <w:color w:val="000000"/>
                <w:kern w:val="24"/>
              </w:rPr>
              <m:t>Ni</m:t>
            </m:r>
          </m:e>
          <m:sub>
            <m:r>
              <w:rPr>
                <w:rFonts w:ascii="Cambria Math" w:eastAsia="等线" w:hAnsi="Cambria Math" w:cs="Times New Roman"/>
                <w:color w:val="000000"/>
                <w:kern w:val="24"/>
              </w:rPr>
              <m:t>2</m:t>
            </m:r>
          </m:sub>
        </m:sSub>
        <m:r>
          <w:rPr>
            <w:rFonts w:ascii="Cambria Math" w:eastAsia="等线" w:hAnsi="Cambria Math" w:cs="Times New Roman" w:hint="eastAsia"/>
            <w:kern w:val="24"/>
          </w:rPr>
          <m:t>P</m:t>
        </m:r>
      </m:oMath>
      <w:r w:rsidR="0010546D">
        <w:rPr>
          <w:rFonts w:ascii="Times New Roman" w:hAnsi="Times New Roman" w:cs="Times New Roman" w:hint="eastAsia"/>
          <w:lang w:val="en-US"/>
        </w:rPr>
        <w:t>.</w:t>
      </w:r>
      <w:r w:rsidR="009046E7">
        <w:rPr>
          <w:rFonts w:ascii="Times New Roman" w:hAnsi="Times New Roman" w:cs="Times New Roman" w:hint="eastAsia"/>
          <w:lang w:val="en-US"/>
        </w:rPr>
        <w:t xml:space="preserve"> </w:t>
      </w:r>
    </w:p>
    <w:p w14:paraId="13DA3D28" w14:textId="4E596F17" w:rsidR="0010546D" w:rsidRPr="00BA553D" w:rsidRDefault="00165565" w:rsidP="00BA553D">
      <w:pPr>
        <w:spacing w:line="360" w:lineRule="auto"/>
        <w:ind w:firstLine="720"/>
        <w:jc w:val="center"/>
        <w:rPr>
          <w:rFonts w:ascii="Times New Roman" w:hAnsi="Times New Roman" w:cs="Times New Roman"/>
          <w:sz w:val="36"/>
          <w:szCs w:val="36"/>
          <w:lang w:val="en-US"/>
        </w:rPr>
      </w:pPr>
      <w:r w:rsidRPr="00165565">
        <w:rPr>
          <w:rFonts w:ascii="Times New Roman" w:hAnsi="Times New Roman" w:cs="Times New Roman"/>
        </w:rPr>
        <w:drawing>
          <wp:inline distT="0" distB="0" distL="0" distR="0" wp14:anchorId="34478AE1" wp14:editId="6E4EE3FF">
            <wp:extent cx="2968796" cy="2045178"/>
            <wp:effectExtent l="0" t="0" r="3175" b="0"/>
            <wp:docPr id="267457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7104" name=""/>
                    <pic:cNvPicPr/>
                  </pic:nvPicPr>
                  <pic:blipFill>
                    <a:blip r:embed="rId18"/>
                    <a:stretch>
                      <a:fillRect/>
                    </a:stretch>
                  </pic:blipFill>
                  <pic:spPr>
                    <a:xfrm>
                      <a:off x="0" y="0"/>
                      <a:ext cx="3009790" cy="2073419"/>
                    </a:xfrm>
                    <a:prstGeom prst="rect">
                      <a:avLst/>
                    </a:prstGeom>
                  </pic:spPr>
                </pic:pic>
              </a:graphicData>
            </a:graphic>
          </wp:inline>
        </w:drawing>
      </w:r>
    </w:p>
    <w:p w14:paraId="783B5503" w14:textId="42498DFA" w:rsidR="00BA553D" w:rsidRPr="00BA553D" w:rsidRDefault="0010546D" w:rsidP="00041B46">
      <w:pPr>
        <w:spacing w:line="360" w:lineRule="auto"/>
        <w:ind w:firstLine="720"/>
        <w:jc w:val="center"/>
        <w:rPr>
          <w:rFonts w:ascii="Times New Roman" w:hAnsi="Times New Roman" w:cs="Times New Roman" w:hint="eastAsia"/>
          <w:iCs/>
          <w:color w:val="836967"/>
          <w:kern w:val="24"/>
          <w:sz w:val="20"/>
          <w:szCs w:val="20"/>
        </w:rPr>
      </w:pPr>
      <w:r w:rsidRPr="00CF65D5">
        <w:rPr>
          <w:rFonts w:ascii="Times New Roman" w:hAnsi="Times New Roman" w:cs="Times New Roman" w:hint="eastAsia"/>
          <w:b/>
          <w:bCs/>
          <w:sz w:val="20"/>
          <w:szCs w:val="20"/>
        </w:rPr>
        <w:t xml:space="preserve">Figure </w:t>
      </w:r>
      <w:r w:rsidR="00BA553D">
        <w:rPr>
          <w:rFonts w:ascii="Times New Roman" w:hAnsi="Times New Roman" w:cs="Times New Roman" w:hint="eastAsia"/>
          <w:b/>
          <w:bCs/>
          <w:sz w:val="20"/>
          <w:szCs w:val="20"/>
        </w:rPr>
        <w:t>6</w:t>
      </w:r>
      <w:r w:rsidRPr="00CF65D5">
        <w:rPr>
          <w:rFonts w:ascii="Times New Roman" w:hAnsi="Times New Roman" w:cs="Times New Roman" w:hint="eastAsia"/>
          <w:sz w:val="20"/>
          <w:szCs w:val="20"/>
        </w:rPr>
        <w:t xml:space="preserve"> </w:t>
      </w:r>
      <w:r w:rsidR="00CF65D5" w:rsidRPr="00CF65D5">
        <w:rPr>
          <w:rFonts w:ascii="Times New Roman" w:hAnsi="Times New Roman" w:cs="Times New Roman" w:hint="eastAsia"/>
          <w:sz w:val="20"/>
          <w:szCs w:val="20"/>
        </w:rPr>
        <w:t xml:space="preserve">the </w:t>
      </w:r>
      <w:r w:rsidR="00CF65D5" w:rsidRPr="00CF65D5">
        <w:rPr>
          <w:rFonts w:ascii="Times New Roman" w:hAnsi="Times New Roman" w:cs="Times New Roman" w:hint="eastAsia"/>
          <w:sz w:val="20"/>
          <w:szCs w:val="20"/>
          <w:lang w:val="en-US"/>
        </w:rPr>
        <w:t>b</w:t>
      </w:r>
      <w:r w:rsidR="00CF65D5" w:rsidRPr="00CF65D5">
        <w:rPr>
          <w:rFonts w:ascii="Times New Roman" w:hAnsi="Times New Roman" w:cs="Times New Roman"/>
          <w:sz w:val="20"/>
          <w:szCs w:val="20"/>
          <w:lang w:val="en-US"/>
        </w:rPr>
        <w:t xml:space="preserve">ox plots of energy values for different Miller indices of </w:t>
      </w:r>
      <m:oMath>
        <m:sSub>
          <m:sSubPr>
            <m:ctrlPr>
              <w:rPr>
                <w:rFonts w:ascii="Cambria Math" w:eastAsia="等线" w:hAnsi="Cambria Math" w:cs="Times New Roman"/>
                <w:i/>
                <w:iCs/>
                <w:color w:val="000000"/>
                <w:kern w:val="24"/>
                <w:sz w:val="20"/>
                <w:szCs w:val="20"/>
              </w:rPr>
            </m:ctrlPr>
          </m:sSubPr>
          <m:e>
            <m:r>
              <w:rPr>
                <w:rFonts w:ascii="Cambria Math" w:eastAsia="等线" w:hAnsi="Cambria Math" w:cs="Times New Roman"/>
                <w:color w:val="000000"/>
                <w:kern w:val="24"/>
                <w:sz w:val="20"/>
                <w:szCs w:val="20"/>
              </w:rPr>
              <m:t>Ni</m:t>
            </m:r>
          </m:e>
          <m:sub>
            <m:r>
              <w:rPr>
                <w:rFonts w:ascii="Cambria Math" w:eastAsia="等线" w:hAnsi="Cambria Math" w:cs="Times New Roman"/>
                <w:color w:val="000000"/>
                <w:kern w:val="24"/>
                <w:sz w:val="20"/>
                <w:szCs w:val="20"/>
              </w:rPr>
              <m:t>2</m:t>
            </m:r>
          </m:sub>
        </m:sSub>
        <m:r>
          <w:rPr>
            <w:rFonts w:ascii="Cambria Math" w:eastAsia="等线" w:hAnsi="Cambria Math" w:cs="Times New Roman" w:hint="eastAsia"/>
            <w:kern w:val="24"/>
            <w:sz w:val="20"/>
            <w:szCs w:val="20"/>
          </w:rPr>
          <m:t>P</m:t>
        </m:r>
      </m:oMath>
      <w:r w:rsidR="009046E7" w:rsidRPr="009046E7">
        <w:rPr>
          <w:rFonts w:ascii="Times New Roman" w:hAnsi="Times New Roman" w:cs="Times New Roman" w:hint="eastAsia"/>
          <w:sz w:val="20"/>
          <w:szCs w:val="20"/>
          <w:lang w:val="en-US"/>
        </w:rPr>
        <w:t>.</w:t>
      </w:r>
    </w:p>
    <w:p w14:paraId="4896A03A" w14:textId="682050D6" w:rsidR="0010546D" w:rsidRDefault="00165565" w:rsidP="00362A16">
      <w:pPr>
        <w:spacing w:line="360" w:lineRule="auto"/>
        <w:rPr>
          <w:rFonts w:ascii="Times New Roman" w:hAnsi="Times New Roman" w:cs="Times New Roman"/>
        </w:rPr>
      </w:pPr>
      <w:r w:rsidRPr="00165565">
        <w:rPr>
          <w:rFonts w:ascii="Times New Roman" w:hAnsi="Times New Roman" w:cs="Times New Roman"/>
        </w:rPr>
        <w:t xml:space="preserve">From the box plot, it can be seen that </w:t>
      </w:r>
      <m:oMath>
        <m:sSub>
          <m:sSubPr>
            <m:ctrlPr>
              <w:rPr>
                <w:rFonts w:ascii="Cambria Math" w:eastAsia="等线" w:hAnsi="Cambria Math" w:cs="Times New Roman"/>
                <w:i/>
                <w:iCs/>
                <w:color w:val="000000"/>
                <w:kern w:val="24"/>
              </w:rPr>
            </m:ctrlPr>
          </m:sSubPr>
          <m:e>
            <m:r>
              <w:rPr>
                <w:rFonts w:ascii="Cambria Math" w:eastAsia="等线" w:hAnsi="Cambria Math" w:cs="Times New Roman"/>
                <w:color w:val="000000"/>
                <w:kern w:val="24"/>
              </w:rPr>
              <m:t>Ni</m:t>
            </m:r>
          </m:e>
          <m:sub>
            <m:r>
              <w:rPr>
                <w:rFonts w:ascii="Cambria Math" w:eastAsia="等线" w:hAnsi="Cambria Math" w:cs="Times New Roman"/>
                <w:color w:val="000000"/>
                <w:kern w:val="24"/>
              </w:rPr>
              <m:t>2</m:t>
            </m:r>
          </m:sub>
        </m:sSub>
        <m:r>
          <w:rPr>
            <w:rFonts w:ascii="Cambria Math" w:eastAsia="等线" w:hAnsi="Cambria Math" w:cs="Times New Roman" w:hint="eastAsia"/>
            <w:kern w:val="24"/>
          </w:rPr>
          <m:t>P</m:t>
        </m:r>
      </m:oMath>
      <w:r w:rsidRPr="00165565">
        <w:rPr>
          <w:rFonts w:ascii="Times New Roman" w:hAnsi="Times New Roman" w:cs="Times New Roman"/>
        </w:rPr>
        <w:t xml:space="preserve"> crystal has a small adsorption energy and a more stable adsorption structure in the (0,0,1) section, and the energy variance of each adsorption site is small, which is an ideal catalyst for HER reaction.</w:t>
      </w:r>
      <w:r w:rsidRPr="00165565">
        <w:rPr>
          <w:rFonts w:ascii="Times New Roman" w:hAnsi="Times New Roman" w:cs="Times New Roman" w:hint="eastAsia"/>
        </w:rPr>
        <w:t xml:space="preserve"> </w:t>
      </w:r>
      <w:r>
        <w:rPr>
          <w:rFonts w:ascii="Times New Roman" w:hAnsi="Times New Roman" w:cs="Times New Roman" w:hint="eastAsia"/>
        </w:rPr>
        <w:t>F</w:t>
      </w:r>
      <w:r w:rsidR="0010546D" w:rsidRPr="0010546D">
        <w:rPr>
          <w:rFonts w:ascii="Times New Roman" w:hAnsi="Times New Roman" w:cs="Times New Roman"/>
        </w:rPr>
        <w:t>inally, we calculated the Ni2P and obtained its most promising sections, which were stored as follows:</w:t>
      </w:r>
    </w:p>
    <w:p w14:paraId="6B5B6F74" w14:textId="4A271602" w:rsidR="0010546D" w:rsidRDefault="0010546D" w:rsidP="00362A16">
      <w:pPr>
        <w:spacing w:line="360" w:lineRule="auto"/>
        <w:rPr>
          <w:rFonts w:ascii="Times New Roman" w:hAnsi="Times New Roman" w:cs="Times New Roman"/>
        </w:rPr>
      </w:pPr>
      <w:r w:rsidRPr="0010546D">
        <w:rPr>
          <w:rFonts w:ascii="Times New Roman" w:hAnsi="Times New Roman" w:cs="Times New Roman"/>
        </w:rPr>
        <w:t xml:space="preserve">The </w:t>
      </w:r>
      <w:r>
        <w:rPr>
          <w:rFonts w:ascii="Times New Roman" w:hAnsi="Times New Roman" w:cs="Times New Roman" w:hint="eastAsia"/>
        </w:rPr>
        <w:t xml:space="preserve">Ni2P </w:t>
      </w:r>
      <w:r w:rsidRPr="0010546D">
        <w:rPr>
          <w:rFonts w:ascii="Times New Roman" w:hAnsi="Times New Roman" w:cs="Times New Roman"/>
        </w:rPr>
        <w:t>file with the smallest hydrogen</w:t>
      </w:r>
      <w:r w:rsidRPr="0010546D">
        <w:rPr>
          <w:rFonts w:ascii="Times New Roman" w:hAnsi="Times New Roman" w:cs="Times New Roman"/>
        </w:rPr>
        <w:t xml:space="preserve"> </w:t>
      </w:r>
      <w:r w:rsidRPr="0010546D">
        <w:rPr>
          <w:rFonts w:ascii="Times New Roman" w:hAnsi="Times New Roman" w:cs="Times New Roman"/>
        </w:rPr>
        <w:t>atom adsorption energy</w:t>
      </w:r>
      <w:r w:rsidRPr="0010546D">
        <w:rPr>
          <w:rFonts w:ascii="Times New Roman" w:hAnsi="Times New Roman" w:cs="Times New Roman"/>
        </w:rPr>
        <w:t xml:space="preserve"> </w:t>
      </w:r>
      <w:r w:rsidRPr="0010546D">
        <w:rPr>
          <w:rFonts w:ascii="Times New Roman" w:hAnsi="Times New Roman" w:cs="Times New Roman"/>
        </w:rPr>
        <w:t xml:space="preserve">value is: </w:t>
      </w:r>
    </w:p>
    <w:p w14:paraId="5450A272" w14:textId="44A53589" w:rsidR="0010546D" w:rsidRPr="0010546D" w:rsidRDefault="0010546D" w:rsidP="00CE2A5D">
      <w:pPr>
        <w:spacing w:line="360" w:lineRule="auto"/>
        <w:ind w:firstLine="720"/>
        <w:rPr>
          <w:rFonts w:ascii="Times New Roman" w:hAnsi="Times New Roman" w:cs="Times New Roman"/>
          <w:b/>
          <w:bCs/>
        </w:rPr>
      </w:pPr>
      <w:bookmarkStart w:id="3" w:name="_Hlk176772773"/>
      <w:r w:rsidRPr="0010546D">
        <w:rPr>
          <w:rFonts w:ascii="Times New Roman" w:hAnsi="Times New Roman" w:cs="Times New Roman"/>
          <w:b/>
          <w:bCs/>
        </w:rPr>
        <w:t>Ni2P_mp-21167_001_0_5_opt.</w:t>
      </w:r>
      <w:r w:rsidR="00165565">
        <w:rPr>
          <w:rFonts w:ascii="Times New Roman" w:hAnsi="Times New Roman" w:cs="Times New Roman" w:hint="eastAsia"/>
          <w:b/>
          <w:bCs/>
        </w:rPr>
        <w:t>cif</w:t>
      </w:r>
      <w:bookmarkEnd w:id="3"/>
      <w:r w:rsidRPr="0010546D">
        <w:rPr>
          <w:rFonts w:ascii="Times New Roman" w:hAnsi="Times New Roman" w:cs="Times New Roman"/>
          <w:b/>
          <w:bCs/>
        </w:rPr>
        <w:t>, and the energy value is: -0.30458984375</w:t>
      </w:r>
    </w:p>
    <w:p w14:paraId="3E06614C" w14:textId="77777777" w:rsidR="00A92AF4" w:rsidRDefault="00000000" w:rsidP="00362A16">
      <w:pPr>
        <w:spacing w:line="360" w:lineRule="auto"/>
        <w:rPr>
          <w:rFonts w:ascii="Times New Roman" w:hAnsi="Times New Roman" w:cs="Times New Roman"/>
        </w:rPr>
      </w:pPr>
      <w:r>
        <w:rPr>
          <w:rFonts w:ascii="Times New Roman" w:hAnsi="Times New Roman" w:cs="Times New Roman" w:hint="eastAsia"/>
        </w:rPr>
        <w:t>In the screened crystal section, the Ni2P, especially for (0 0 1) surface, exhibited high electron density in d-band extending to near Fermi level, resulting in the strong interaction with hydrogen.</w:t>
      </w:r>
    </w:p>
    <w:p w14:paraId="15CF7116" w14:textId="77777777" w:rsidR="00A92AF4" w:rsidRDefault="00000000" w:rsidP="00362A16">
      <w:pPr>
        <w:spacing w:line="360" w:lineRule="auto"/>
        <w:rPr>
          <w:rFonts w:ascii="Times New Roman" w:hAnsi="Times New Roman" w:cs="Times New Roman"/>
        </w:rPr>
      </w:pPr>
      <w:r>
        <w:rPr>
          <w:rFonts w:ascii="Times New Roman" w:hAnsi="Times New Roman" w:cs="Times New Roman" w:hint="eastAsia"/>
        </w:rPr>
        <w:t xml:space="preserve">As for Pt-Co alloys, the </w:t>
      </w:r>
      <w:bookmarkStart w:id="4" w:name="OLE_LINK3"/>
      <w:r>
        <w:rPr>
          <w:rFonts w:ascii="Times New Roman" w:hAnsi="Times New Roman" w:cs="Times New Roman" w:hint="eastAsia"/>
        </w:rPr>
        <w:t>hydrogen adsorption energy</w:t>
      </w:r>
      <w:bookmarkEnd w:id="4"/>
      <w:r>
        <w:rPr>
          <w:rFonts w:ascii="Times New Roman" w:hAnsi="Times New Roman" w:cs="Times New Roman" w:hint="eastAsia"/>
        </w:rPr>
        <w:t xml:space="preserve"> of CoPt3 is -0.12eV, which is the smallest among all Pt-Co alloy crystal structures (see Figure </w:t>
      </w:r>
      <w:r>
        <w:rPr>
          <w:rFonts w:ascii="Times New Roman" w:hAnsi="Times New Roman" w:cs="Times New Roman" w:hint="eastAsia"/>
          <w:lang w:val="en-US"/>
        </w:rPr>
        <w:t>5</w:t>
      </w:r>
      <w:r>
        <w:rPr>
          <w:rFonts w:ascii="Times New Roman" w:hAnsi="Times New Roman" w:cs="Times New Roman" w:hint="eastAsia"/>
        </w:rPr>
        <w:t>).</w:t>
      </w:r>
    </w:p>
    <w:p w14:paraId="7C526275" w14:textId="77777777" w:rsidR="00A92AF4" w:rsidRDefault="00000000" w:rsidP="00CE2A5D">
      <w:pPr>
        <w:spacing w:line="360" w:lineRule="auto"/>
        <w:jc w:val="center"/>
        <w:rPr>
          <w:rFonts w:hint="eastAsia"/>
        </w:rPr>
      </w:pPr>
      <w:r>
        <w:rPr>
          <w:noProof/>
        </w:rPr>
        <w:drawing>
          <wp:inline distT="0" distB="0" distL="0" distR="0" wp14:anchorId="11615390" wp14:editId="6682C843">
            <wp:extent cx="3632601" cy="1878129"/>
            <wp:effectExtent l="0" t="0" r="6350" b="8255"/>
            <wp:docPr id="151139532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91A2BCB" w14:textId="679FA3F9" w:rsidR="00CE2A5D" w:rsidRPr="00CE2A5D" w:rsidRDefault="00CE2A5D" w:rsidP="00CE2A5D">
      <w:pPr>
        <w:spacing w:line="360" w:lineRule="auto"/>
        <w:jc w:val="center"/>
        <w:rPr>
          <w:rFonts w:ascii="Times New Roman" w:hAnsi="Times New Roman" w:cs="Times New Roman"/>
          <w:b/>
          <w:bCs/>
          <w:sz w:val="20"/>
          <w:szCs w:val="20"/>
          <w:lang w:val="en-US"/>
        </w:rPr>
      </w:pPr>
      <w:r w:rsidRPr="00CE2A5D">
        <w:rPr>
          <w:rFonts w:ascii="Times New Roman" w:hAnsi="Times New Roman" w:cs="Times New Roman" w:hint="eastAsia"/>
          <w:b/>
          <w:bCs/>
          <w:sz w:val="20"/>
          <w:szCs w:val="20"/>
          <w:lang w:val="en-US"/>
        </w:rPr>
        <w:lastRenderedPageBreak/>
        <w:t xml:space="preserve">Figure 5 </w:t>
      </w:r>
      <w:r w:rsidRPr="00CE2A5D">
        <w:rPr>
          <w:rFonts w:ascii="Times New Roman" w:hAnsi="Times New Roman" w:cs="Times New Roman" w:hint="eastAsia"/>
          <w:sz w:val="20"/>
          <w:szCs w:val="20"/>
          <w:lang w:val="en-US"/>
        </w:rPr>
        <w:t>Some Co-Pt alloy</w:t>
      </w:r>
      <w:r w:rsidRPr="00CE2A5D">
        <w:rPr>
          <w:rFonts w:ascii="Times New Roman" w:hAnsi="Times New Roman" w:cs="Times New Roman"/>
          <w:sz w:val="20"/>
          <w:szCs w:val="20"/>
          <w:lang w:val="en-US"/>
        </w:rPr>
        <w:t>’</w:t>
      </w:r>
      <w:r w:rsidRPr="00CE2A5D">
        <w:rPr>
          <w:rFonts w:ascii="Times New Roman" w:hAnsi="Times New Roman" w:cs="Times New Roman" w:hint="eastAsia"/>
          <w:sz w:val="20"/>
          <w:szCs w:val="20"/>
          <w:lang w:val="en-US"/>
        </w:rPr>
        <w:t xml:space="preserve">s </w:t>
      </w:r>
      <w:r w:rsidRPr="00CE2A5D">
        <w:rPr>
          <w:rFonts w:ascii="Times New Roman" w:hAnsi="Times New Roman" w:cs="Times New Roman" w:hint="eastAsia"/>
          <w:sz w:val="20"/>
          <w:szCs w:val="20"/>
        </w:rPr>
        <w:t>hydrogen adsorption energy</w:t>
      </w:r>
    </w:p>
    <w:p w14:paraId="3C615B6D" w14:textId="77777777" w:rsidR="00CE2A5D" w:rsidRPr="00CE2A5D" w:rsidRDefault="00CE2A5D">
      <w:pPr>
        <w:spacing w:line="360" w:lineRule="auto"/>
        <w:rPr>
          <w:rFonts w:hint="eastAsia"/>
          <w:lang w:val="en-US"/>
        </w:rPr>
      </w:pPr>
    </w:p>
    <w:p w14:paraId="7F981A29" w14:textId="77777777" w:rsidR="00A92AF4" w:rsidRDefault="00000000" w:rsidP="00362A16">
      <w:pPr>
        <w:spacing w:line="360" w:lineRule="auto"/>
        <w:rPr>
          <w:rFonts w:ascii="Times New Roman" w:hAnsi="Times New Roman" w:cs="Times New Roman"/>
        </w:rPr>
      </w:pPr>
      <w:r>
        <w:rPr>
          <w:rFonts w:ascii="Times New Roman" w:hAnsi="Times New Roman" w:cs="Times New Roman" w:hint="eastAsia"/>
        </w:rPr>
        <w:t xml:space="preserve">The results of both crystals are consistent with the previous literature data, which proves the reliability of this prediction </w:t>
      </w:r>
      <w:proofErr w:type="gramStart"/>
      <w:r>
        <w:rPr>
          <w:rFonts w:ascii="Times New Roman" w:hAnsi="Times New Roman" w:cs="Times New Roman" w:hint="eastAsia"/>
        </w:rPr>
        <w:t>method(</w:t>
      </w:r>
      <w:proofErr w:type="gramEnd"/>
      <w:r>
        <w:rPr>
          <w:rFonts w:ascii="Times New Roman" w:hAnsi="Times New Roman" w:cs="Times New Roman" w:hint="eastAsia"/>
        </w:rPr>
        <w:t>Moon et al., 2015)(Y. Wang et al., 2022).</w:t>
      </w:r>
    </w:p>
    <w:p w14:paraId="09309A3F" w14:textId="77777777" w:rsidR="00A92AF4" w:rsidRDefault="00A92AF4">
      <w:pPr>
        <w:spacing w:line="360" w:lineRule="auto"/>
        <w:ind w:firstLine="420"/>
        <w:rPr>
          <w:rFonts w:ascii="Times New Roman" w:hAnsi="Times New Roman" w:cs="Times New Roman"/>
        </w:rPr>
      </w:pPr>
    </w:p>
    <w:p w14:paraId="702B06C9" w14:textId="720ED573" w:rsidR="0071280C" w:rsidRPr="0071280C" w:rsidRDefault="0071280C" w:rsidP="0071280C">
      <w:pPr>
        <w:spacing w:before="60" w:after="60" w:line="360" w:lineRule="auto"/>
        <w:rPr>
          <w:rFonts w:ascii="Times New Roman" w:eastAsia="微软雅黑" w:hint="eastAsia"/>
          <w:b/>
          <w:bCs/>
          <w:sz w:val="28"/>
          <w:lang w:val="en-US"/>
        </w:rPr>
      </w:pPr>
      <w:r>
        <w:rPr>
          <w:rFonts w:ascii="Times New Roman" w:eastAsia="微软雅黑" w:hint="eastAsia"/>
          <w:b/>
          <w:bCs/>
          <w:sz w:val="28"/>
          <w:lang w:val="en-US"/>
        </w:rPr>
        <w:t>4</w:t>
      </w:r>
      <w:r>
        <w:rPr>
          <w:rFonts w:ascii="Times New Roman" w:eastAsia="微软雅黑" w:hint="eastAsia"/>
          <w:b/>
          <w:bCs/>
          <w:sz w:val="28"/>
          <w:lang w:val="en-US"/>
        </w:rPr>
        <w:t xml:space="preserve"> </w:t>
      </w:r>
      <w:r>
        <w:rPr>
          <w:rFonts w:ascii="Times New Roman" w:eastAsia="微软雅黑" w:hint="eastAsia"/>
          <w:b/>
          <w:bCs/>
          <w:sz w:val="28"/>
          <w:lang w:val="en-US"/>
        </w:rPr>
        <w:t>Conclusion and Discussion</w:t>
      </w:r>
    </w:p>
    <w:p w14:paraId="3CBFE3C8" w14:textId="77777777" w:rsidR="00A92AF4" w:rsidRDefault="00000000" w:rsidP="00362A16">
      <w:pPr>
        <w:spacing w:line="360" w:lineRule="auto"/>
        <w:rPr>
          <w:rFonts w:ascii="Times New Roman" w:hAnsi="Times New Roman" w:cs="Times New Roman"/>
          <w:lang w:val="en-US"/>
        </w:rPr>
      </w:pPr>
      <w:r>
        <w:rPr>
          <w:rFonts w:ascii="Times New Roman" w:hAnsi="Times New Roman" w:cs="Times New Roman"/>
        </w:rPr>
        <w:t xml:space="preserve">In the present study, we have screened </w:t>
      </w:r>
      <w:r>
        <w:rPr>
          <w:rFonts w:ascii="Times New Roman" w:hAnsi="Times New Roman" w:cs="Times New Roman" w:hint="eastAsia"/>
          <w:lang w:val="en-US"/>
        </w:rPr>
        <w:t>Nickel-phosphorus and platinum-cobalt alloys</w:t>
      </w:r>
      <w:r>
        <w:rPr>
          <w:rFonts w:ascii="Times New Roman" w:hAnsi="Times New Roman" w:cs="Times New Roman"/>
        </w:rPr>
        <w:t xml:space="preserve"> to identify efficient catalysts for </w:t>
      </w:r>
      <w:r>
        <w:rPr>
          <w:rFonts w:ascii="Times New Roman" w:hAnsi="Times New Roman" w:cs="Times New Roman" w:hint="eastAsia"/>
          <w:lang w:val="en-US"/>
        </w:rPr>
        <w:t xml:space="preserve">HER. Using the GEMNET-DT model, we find </w:t>
      </w:r>
      <w:r>
        <w:rPr>
          <w:rFonts w:ascii="Times New Roman" w:hAnsi="Times New Roman" w:cs="Times New Roman" w:hint="eastAsia"/>
          <w:position w:val="-10"/>
          <w:lang w:val="en-US"/>
        </w:rPr>
        <w:object w:dxaOrig="580" w:dyaOrig="340" w14:anchorId="7CFC0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8.9pt;height:16.8pt" o:ole="">
            <v:imagedata r:id="rId20" o:title=""/>
          </v:shape>
          <o:OLEObject Type="Embed" ProgID="Equation.3" ShapeID="_x0000_i1041" DrawAspect="Content" ObjectID="_1787387216" r:id="rId21"/>
        </w:object>
      </w:r>
      <w:r>
        <w:rPr>
          <w:rFonts w:ascii="Times New Roman" w:hAnsi="Times New Roman" w:cs="Times New Roman" w:hint="eastAsia"/>
          <w:lang w:val="en-US"/>
        </w:rPr>
        <w:t xml:space="preserve"> surfaces (0 0 1) and </w:t>
      </w:r>
      <w:bookmarkStart w:id="5" w:name="OLE_LINK5"/>
      <w:r>
        <w:rPr>
          <w:rFonts w:ascii="Times New Roman" w:hAnsi="Times New Roman" w:cs="Times New Roman" w:hint="eastAsia"/>
          <w:position w:val="-12"/>
          <w:lang w:val="en-US"/>
        </w:rPr>
        <w:object w:dxaOrig="660" w:dyaOrig="360" w14:anchorId="6BF112F8">
          <v:shape id="_x0000_i1042" type="#_x0000_t75" style="width:33.1pt;height:17.85pt" o:ole="">
            <v:imagedata r:id="rId22" o:title=""/>
          </v:shape>
          <o:OLEObject Type="Embed" ProgID="Equation.3" ShapeID="_x0000_i1042" DrawAspect="Content" ObjectID="_1787387217" r:id="rId23"/>
        </w:object>
      </w:r>
      <w:r>
        <w:rPr>
          <w:rFonts w:ascii="Times New Roman" w:hAnsi="Times New Roman" w:cs="Times New Roman" w:hint="eastAsia"/>
          <w:lang w:val="en-US"/>
        </w:rPr>
        <w:t xml:space="preserve"> surfaces (1 1 0)</w:t>
      </w:r>
      <w:bookmarkEnd w:id="5"/>
      <w:r>
        <w:rPr>
          <w:rFonts w:ascii="Times New Roman" w:hAnsi="Times New Roman" w:cs="Times New Roman" w:hint="eastAsia"/>
          <w:lang w:val="en-US"/>
        </w:rPr>
        <w:t xml:space="preserve"> have good </w:t>
      </w:r>
      <w:bookmarkStart w:id="6" w:name="OLE_LINK6"/>
      <w:r>
        <w:rPr>
          <w:rFonts w:ascii="Times New Roman" w:hAnsi="Times New Roman" w:cs="Times New Roman" w:hint="eastAsia"/>
          <w:lang w:val="en-US"/>
        </w:rPr>
        <w:t>catalyst</w:t>
      </w:r>
      <w:bookmarkEnd w:id="6"/>
      <w:r>
        <w:rPr>
          <w:rFonts w:ascii="Times New Roman" w:hAnsi="Times New Roman" w:cs="Times New Roman" w:hint="eastAsia"/>
          <w:lang w:val="en-US"/>
        </w:rPr>
        <w:t xml:space="preserve"> activity, whose hydrogen adsorption energies are respectively -0.01 and -0.24. For most of our catalysts, especially the </w:t>
      </w:r>
      <w:r>
        <w:rPr>
          <w:rFonts w:ascii="Times New Roman" w:hAnsi="Times New Roman" w:cs="Times New Roman" w:hint="eastAsia"/>
          <w:position w:val="-12"/>
          <w:lang w:val="en-US"/>
        </w:rPr>
        <w:object w:dxaOrig="660" w:dyaOrig="360" w14:anchorId="1A719E1F">
          <v:shape id="_x0000_i1043" type="#_x0000_t75" style="width:33.1pt;height:17.85pt" o:ole="">
            <v:imagedata r:id="rId22" o:title=""/>
          </v:shape>
          <o:OLEObject Type="Embed" ProgID="Equation.3" ShapeID="_x0000_i1043" DrawAspect="Content" ObjectID="_1787387218" r:id="rId24"/>
        </w:object>
      </w:r>
      <w:r>
        <w:rPr>
          <w:rFonts w:ascii="Times New Roman" w:hAnsi="Times New Roman" w:cs="Times New Roman" w:hint="eastAsia"/>
          <w:lang w:val="en-US"/>
        </w:rPr>
        <w:t>, its surfaces (1 1 0)</w:t>
      </w:r>
      <w:r>
        <w:rPr>
          <w:rFonts w:ascii="Times New Roman" w:hAnsi="Times New Roman" w:cs="Times New Roman"/>
          <w:lang w:val="en-US"/>
        </w:rPr>
        <w:t>’</w:t>
      </w:r>
      <w:r>
        <w:rPr>
          <w:rFonts w:ascii="Times New Roman" w:hAnsi="Times New Roman" w:cs="Times New Roman" w:hint="eastAsia"/>
          <w:lang w:val="en-US"/>
        </w:rPr>
        <w:t xml:space="preserve">s hydrogen adsorption energy is very close to the data in the preview literature(Y. Wang et al., 2022). It proves that the GEMNET-DT model has a reference value in predicting the performance of catalysts. </w:t>
      </w:r>
    </w:p>
    <w:p w14:paraId="2892497F" w14:textId="77777777" w:rsidR="00A92AF4" w:rsidRDefault="00000000" w:rsidP="00362A16">
      <w:pPr>
        <w:spacing w:line="360" w:lineRule="auto"/>
        <w:rPr>
          <w:rFonts w:ascii="Times New Roman" w:hAnsi="Times New Roman" w:cs="Times New Roman"/>
          <w:lang w:val="en-US"/>
        </w:rPr>
      </w:pPr>
      <w:r>
        <w:rPr>
          <w:rFonts w:ascii="Times New Roman" w:hAnsi="Times New Roman" w:cs="Times New Roman" w:hint="eastAsia"/>
          <w:lang w:val="en-US"/>
        </w:rPr>
        <w:t>However, because the accuracy of the GEMNET-DT model and the prediction field involved is still limited, the use of the model still needs to be combined with experimental and theoretical calculations. To refine our research, the following work will be carried out.</w:t>
      </w:r>
    </w:p>
    <w:p w14:paraId="0F1A5ED0" w14:textId="77777777" w:rsidR="00A92AF4" w:rsidRDefault="00000000">
      <w:pPr>
        <w:spacing w:line="360" w:lineRule="auto"/>
        <w:ind w:firstLine="420"/>
        <w:rPr>
          <w:rFonts w:ascii="Times New Roman" w:hAnsi="Times New Roman" w:cs="Times New Roman"/>
          <w:lang w:val="en-US"/>
        </w:rPr>
      </w:pPr>
      <w:r>
        <w:rPr>
          <w:rFonts w:ascii="Times New Roman" w:hAnsi="Times New Roman" w:cs="Times New Roman" w:hint="eastAsia"/>
          <w:lang w:val="en-US"/>
        </w:rPr>
        <w:t>1. Further discuss the stability of the obtained structure. Using TEM, XAS, XRD, ICP-MS, Raman, and other characterizations, to probe the actual active center and monitor the structural evolution of the catalysts during operation. This index is particularly important when measuring the actual use value of the catalyst.</w:t>
      </w:r>
    </w:p>
    <w:p w14:paraId="01B40498" w14:textId="77777777" w:rsidR="00A92AF4" w:rsidRDefault="00000000">
      <w:pPr>
        <w:spacing w:line="360" w:lineRule="auto"/>
        <w:ind w:firstLine="420"/>
        <w:rPr>
          <w:rFonts w:ascii="Times New Roman" w:hAnsi="Times New Roman" w:cs="Times New Roman"/>
          <w:lang w:val="en-US"/>
        </w:rPr>
      </w:pPr>
      <w:r>
        <w:rPr>
          <w:rFonts w:ascii="Times New Roman" w:hAnsi="Times New Roman" w:cs="Times New Roman" w:hint="eastAsia"/>
          <w:lang w:val="en-US"/>
        </w:rPr>
        <w:t>2. Calculated turnover frequency (TOF). It represents the number of catalytic reactions or the number of target products generated or the number of reactants consumed in unit time and at the unit active site under a certain temperature, pressure, reactant proportion and a certain reaction degree. It can more directly reflect the performance of the catalyst.</w:t>
      </w:r>
    </w:p>
    <w:p w14:paraId="7220E314" w14:textId="77777777" w:rsidR="00A92AF4" w:rsidRDefault="00000000">
      <w:pPr>
        <w:spacing w:line="360" w:lineRule="auto"/>
        <w:ind w:firstLine="420"/>
        <w:rPr>
          <w:rFonts w:ascii="Times New Roman" w:hAnsi="Times New Roman" w:cs="Times New Roman"/>
          <w:lang w:val="en-US"/>
        </w:rPr>
      </w:pPr>
      <w:r>
        <w:rPr>
          <w:rFonts w:ascii="Times New Roman" w:hAnsi="Times New Roman" w:cs="Times New Roman" w:hint="eastAsia"/>
          <w:lang w:val="en-US"/>
        </w:rPr>
        <w:t>3. Model optimization and improvement. Some of the predicted hydrogen adsorption energies are far less than the error range, causing them to fail to reflect the true hydrogen adsorption energies. S</w:t>
      </w:r>
      <w:proofErr w:type="spellStart"/>
      <w:r>
        <w:rPr>
          <w:rFonts w:ascii="Times New Roman" w:hAnsi="Times New Roman" w:cs="Times New Roman" w:hint="eastAsia"/>
        </w:rPr>
        <w:t>ome</w:t>
      </w:r>
      <w:proofErr w:type="spellEnd"/>
      <w:r>
        <w:rPr>
          <w:rFonts w:ascii="Times New Roman" w:hAnsi="Times New Roman" w:cs="Times New Roman" w:hint="eastAsia"/>
        </w:rPr>
        <w:t xml:space="preserve"> crystal sections were found to be divergent</w:t>
      </w:r>
      <w:r>
        <w:rPr>
          <w:rFonts w:ascii="Times New Roman" w:hAnsi="Times New Roman" w:cs="Times New Roman" w:hint="eastAsia"/>
          <w:lang w:val="en-US"/>
        </w:rPr>
        <w:t xml:space="preserve"> for DFT. To solve this problem, it is expected that the input crystal parameters can be adjusted to optimize the model operations.</w:t>
      </w:r>
    </w:p>
    <w:bookmarkEnd w:id="0"/>
    <w:p w14:paraId="22E0F023" w14:textId="77777777" w:rsidR="0071280C" w:rsidRDefault="0071280C" w:rsidP="0071280C">
      <w:pPr>
        <w:spacing w:before="60" w:after="60" w:line="360" w:lineRule="auto"/>
        <w:rPr>
          <w:rFonts w:ascii="Times New Roman" w:eastAsia="微软雅黑" w:hint="eastAsia"/>
          <w:b/>
          <w:bCs/>
          <w:sz w:val="28"/>
          <w:lang w:val="en-US"/>
        </w:rPr>
      </w:pPr>
      <w:r>
        <w:rPr>
          <w:rFonts w:ascii="Times New Roman" w:eastAsia="微软雅黑" w:hint="eastAsia"/>
          <w:b/>
          <w:bCs/>
          <w:sz w:val="28"/>
          <w:lang w:val="en-US"/>
        </w:rPr>
        <w:t>Acknowledgements</w:t>
      </w:r>
    </w:p>
    <w:p w14:paraId="2A6920B2" w14:textId="6037461A" w:rsidR="0071280C" w:rsidRDefault="0071280C" w:rsidP="00362A16">
      <w:pPr>
        <w:spacing w:before="60" w:after="60" w:line="360" w:lineRule="auto"/>
        <w:rPr>
          <w:rFonts w:ascii="Times New Roman" w:eastAsia="微软雅黑" w:hint="eastAsia"/>
          <w:color w:val="000000"/>
          <w:szCs w:val="21"/>
        </w:rPr>
      </w:pPr>
      <w:r>
        <w:rPr>
          <w:rFonts w:ascii="Times New Roman" w:eastAsia="微软雅黑"/>
          <w:color w:val="000000"/>
          <w:szCs w:val="21"/>
        </w:rPr>
        <w:lastRenderedPageBreak/>
        <w:t xml:space="preserve">The authors are grateful to </w:t>
      </w:r>
      <w:r>
        <w:rPr>
          <w:rFonts w:ascii="Times New Roman" w:eastAsia="微软雅黑" w:hint="eastAsia"/>
          <w:color w:val="000000"/>
          <w:szCs w:val="21"/>
        </w:rPr>
        <w:t xml:space="preserve">Prof. Wang, </w:t>
      </w:r>
      <w:r>
        <w:rPr>
          <w:rFonts w:ascii="Times New Roman" w:eastAsia="微软雅黑"/>
          <w:color w:val="000000"/>
          <w:szCs w:val="21"/>
        </w:rPr>
        <w:t>Asst.</w:t>
      </w:r>
      <w:r>
        <w:rPr>
          <w:rFonts w:ascii="Times New Roman" w:eastAsia="微软雅黑" w:hint="eastAsia"/>
          <w:color w:val="000000"/>
          <w:szCs w:val="21"/>
        </w:rPr>
        <w:t xml:space="preserve"> </w:t>
      </w:r>
      <w:r>
        <w:rPr>
          <w:rFonts w:ascii="Times New Roman" w:eastAsia="微软雅黑" w:hint="eastAsia"/>
          <w:color w:val="000000"/>
          <w:szCs w:val="21"/>
        </w:rPr>
        <w:t>Honghao</w:t>
      </w:r>
      <w:r>
        <w:rPr>
          <w:rFonts w:ascii="Times New Roman" w:eastAsia="微软雅黑" w:hint="eastAsia"/>
          <w:color w:val="000000"/>
          <w:szCs w:val="21"/>
        </w:rPr>
        <w:t xml:space="preserve"> Chen</w:t>
      </w:r>
      <w:r w:rsidR="00362A16">
        <w:rPr>
          <w:rFonts w:ascii="Times New Roman" w:eastAsia="微软雅黑" w:hint="eastAsia"/>
          <w:color w:val="000000"/>
          <w:szCs w:val="21"/>
        </w:rPr>
        <w:t>, Siwei Fu, Kuan liu</w:t>
      </w:r>
      <w:r>
        <w:rPr>
          <w:rFonts w:ascii="Times New Roman" w:eastAsia="微软雅黑"/>
          <w:color w:val="000000"/>
          <w:szCs w:val="21"/>
        </w:rPr>
        <w:t xml:space="preserve"> and </w:t>
      </w:r>
      <w:r>
        <w:rPr>
          <w:rFonts w:ascii="Times New Roman" w:eastAsia="微软雅黑" w:hint="eastAsia"/>
          <w:color w:val="000000"/>
          <w:szCs w:val="21"/>
        </w:rPr>
        <w:t>Friend Jin</w:t>
      </w:r>
      <w:r w:rsidR="00362A16">
        <w:rPr>
          <w:rFonts w:ascii="Times New Roman" w:eastAsia="微软雅黑" w:hint="eastAsia"/>
          <w:color w:val="000000"/>
          <w:szCs w:val="21"/>
        </w:rPr>
        <w:t>yu Yang</w:t>
      </w:r>
      <w:r>
        <w:rPr>
          <w:rFonts w:ascii="Times New Roman" w:eastAsia="微软雅黑" w:hint="eastAsia"/>
          <w:color w:val="000000"/>
          <w:szCs w:val="21"/>
        </w:rPr>
        <w:t xml:space="preserve"> </w:t>
      </w:r>
      <w:r>
        <w:rPr>
          <w:rFonts w:ascii="Times New Roman" w:eastAsia="微软雅黑"/>
          <w:color w:val="000000"/>
          <w:szCs w:val="21"/>
        </w:rPr>
        <w:t xml:space="preserve">for </w:t>
      </w:r>
      <w:r>
        <w:rPr>
          <w:rFonts w:ascii="Times New Roman" w:eastAsia="微软雅黑" w:hint="eastAsia"/>
          <w:color w:val="000000"/>
          <w:szCs w:val="21"/>
        </w:rPr>
        <w:t>their</w:t>
      </w:r>
      <w:r>
        <w:rPr>
          <w:rFonts w:ascii="Times New Roman" w:eastAsia="微软雅黑"/>
          <w:color w:val="000000"/>
          <w:szCs w:val="21"/>
        </w:rPr>
        <w:t xml:space="preserve"> help</w:t>
      </w:r>
      <w:r>
        <w:rPr>
          <w:rFonts w:ascii="Times New Roman" w:eastAsia="微软雅黑" w:hint="eastAsia"/>
          <w:color w:val="000000"/>
          <w:szCs w:val="21"/>
        </w:rPr>
        <w:t>.</w:t>
      </w:r>
    </w:p>
    <w:p w14:paraId="6CBCAE0F" w14:textId="1DF8CD9B" w:rsidR="00362A16" w:rsidRDefault="00362A16" w:rsidP="00362A16">
      <w:pPr>
        <w:spacing w:before="60" w:after="60" w:line="360" w:lineRule="auto"/>
        <w:rPr>
          <w:rFonts w:ascii="Times New Roman" w:eastAsia="微软雅黑" w:hint="eastAsia"/>
          <w:b/>
          <w:bCs/>
          <w:sz w:val="28"/>
          <w:lang w:val="en-US"/>
        </w:rPr>
      </w:pPr>
      <w:r>
        <w:rPr>
          <w:rFonts w:ascii="Times New Roman" w:eastAsia="微软雅黑" w:hint="eastAsia"/>
          <w:b/>
          <w:bCs/>
          <w:sz w:val="28"/>
          <w:lang w:val="en-US"/>
        </w:rPr>
        <w:t>Group Credits Statement</w:t>
      </w:r>
      <w:r>
        <w:rPr>
          <w:rFonts w:ascii="Times New Roman" w:eastAsia="微软雅黑" w:hint="eastAsia"/>
          <w:b/>
          <w:bCs/>
          <w:sz w:val="28"/>
          <w:lang w:val="en-US"/>
        </w:rPr>
        <w:t>:</w:t>
      </w:r>
    </w:p>
    <w:p w14:paraId="3F70B6E7" w14:textId="198ABCC6" w:rsidR="009425CE" w:rsidRPr="009425CE" w:rsidRDefault="00464BA9" w:rsidP="009425CE">
      <w:pPr>
        <w:widowControl w:val="0"/>
        <w:jc w:val="both"/>
        <w:rPr>
          <w:rFonts w:ascii="微软雅黑" w:eastAsia="微软雅黑" w:hAnsi="微软雅黑" w:cs="微软雅黑" w:hint="eastAsia"/>
          <w:kern w:val="2"/>
          <w:sz w:val="21"/>
          <w:szCs w:val="21"/>
          <w:lang w:val="en-US" w:bidi="ar"/>
        </w:rPr>
      </w:pPr>
      <w:r>
        <w:rPr>
          <w:rFonts w:ascii="微软雅黑" w:eastAsia="微软雅黑" w:hAnsi="微软雅黑" w:cs="微软雅黑" w:hint="eastAsia"/>
          <w:kern w:val="2"/>
          <w:sz w:val="21"/>
          <w:szCs w:val="21"/>
          <w:lang w:val="en-US" w:bidi="ar"/>
        </w:rPr>
        <w:t>选题</w:t>
      </w:r>
      <w:r w:rsidR="009425CE">
        <w:rPr>
          <w:rFonts w:ascii="微软雅黑" w:eastAsia="微软雅黑" w:hAnsi="微软雅黑" w:cs="微软雅黑" w:hint="eastAsia"/>
          <w:kern w:val="2"/>
          <w:sz w:val="21"/>
          <w:szCs w:val="21"/>
          <w:lang w:val="en-US" w:bidi="ar"/>
        </w:rPr>
        <w:t>与文献阅读:</w:t>
      </w:r>
      <w:r w:rsidR="009425CE" w:rsidRPr="009425CE">
        <w:rPr>
          <w:rFonts w:cs="Times New Roman" w:hint="eastAsia"/>
          <w:kern w:val="2"/>
          <w:szCs w:val="28"/>
          <w:lang w:val="en-US"/>
          <w14:ligatures w14:val="standardContextual"/>
        </w:rPr>
        <w:t xml:space="preserve"> </w:t>
      </w:r>
      <w:r w:rsidR="009425CE" w:rsidRPr="009425CE">
        <w:rPr>
          <w:rFonts w:ascii="微软雅黑" w:eastAsia="微软雅黑" w:hAnsi="微软雅黑" w:cs="微软雅黑" w:hint="eastAsia"/>
          <w:kern w:val="2"/>
          <w:sz w:val="21"/>
          <w:szCs w:val="21"/>
          <w:lang w:val="en-US" w:bidi="ar"/>
        </w:rPr>
        <w:t>在文献搜索与阅读阶段，我们小组每位同学分工查找了不同阶段，不同方向的文献，组长制作了共享文档，小组按照文献名称——搜集人——内容梗概——目的——方法——结论——链接进行了汇总，现将共享文档链接附录于下：</w:t>
      </w:r>
    </w:p>
    <w:p w14:paraId="62259801" w14:textId="77777777" w:rsidR="009425CE" w:rsidRPr="009425CE" w:rsidRDefault="009425CE" w:rsidP="009425CE">
      <w:pPr>
        <w:widowControl w:val="0"/>
        <w:ind w:leftChars="300" w:left="720"/>
        <w:jc w:val="both"/>
        <w:rPr>
          <w:rFonts w:ascii="微软雅黑" w:eastAsia="微软雅黑" w:hAnsi="微软雅黑" w:cs="微软雅黑" w:hint="eastAsia"/>
          <w:kern w:val="2"/>
          <w:sz w:val="21"/>
          <w:szCs w:val="21"/>
          <w:lang w:val="en-US" w:bidi="ar"/>
        </w:rPr>
      </w:pPr>
      <w:r w:rsidRPr="009425CE">
        <w:rPr>
          <w:rFonts w:ascii="微软雅黑" w:eastAsia="微软雅黑" w:hAnsi="微软雅黑" w:cs="微软雅黑" w:hint="eastAsia"/>
          <w:kern w:val="2"/>
          <w:sz w:val="21"/>
          <w:szCs w:val="21"/>
          <w:lang w:val="en-US" w:bidi="ar"/>
        </w:rPr>
        <w:t>【金山文档</w:t>
      </w:r>
      <w:r w:rsidRPr="009425CE">
        <w:rPr>
          <w:rFonts w:ascii="微软雅黑" w:eastAsia="微软雅黑" w:hAnsi="微软雅黑" w:cs="微软雅黑"/>
          <w:kern w:val="2"/>
          <w:sz w:val="21"/>
          <w:szCs w:val="21"/>
          <w:lang w:val="en-US" w:bidi="ar"/>
        </w:rPr>
        <w:t xml:space="preserve"> | WPS云文档】</w:t>
      </w:r>
    </w:p>
    <w:p w14:paraId="37EEE091" w14:textId="42C4BC1C" w:rsidR="00464BA9" w:rsidRDefault="009425CE" w:rsidP="009425CE">
      <w:pPr>
        <w:widowControl w:val="0"/>
        <w:ind w:firstLine="720"/>
        <w:jc w:val="both"/>
        <w:rPr>
          <w:rFonts w:ascii="微软雅黑" w:eastAsia="微软雅黑" w:hAnsi="微软雅黑" w:cs="微软雅黑"/>
          <w:kern w:val="2"/>
          <w:sz w:val="21"/>
          <w:szCs w:val="21"/>
          <w:lang w:val="en-US" w:bidi="ar"/>
        </w:rPr>
      </w:pPr>
      <w:hyperlink r:id="rId25" w:history="1">
        <w:r w:rsidRPr="00591382">
          <w:rPr>
            <w:rStyle w:val="af6"/>
            <w:rFonts w:ascii="微软雅黑" w:eastAsia="微软雅黑" w:hAnsi="微软雅黑" w:cs="微软雅黑" w:hint="eastAsia"/>
            <w:kern w:val="2"/>
            <w:sz w:val="21"/>
            <w:szCs w:val="21"/>
            <w:lang w:val="en-US" w:bidi="ar"/>
          </w:rPr>
          <w:t>https://kdocs.cn/l/cseU1yF4PiQp</w:t>
        </w:r>
      </w:hyperlink>
    </w:p>
    <w:p w14:paraId="3BCB29FD" w14:textId="77777777" w:rsidR="00BA553D" w:rsidRDefault="00BA553D" w:rsidP="009425CE">
      <w:pPr>
        <w:widowControl w:val="0"/>
        <w:ind w:firstLine="720"/>
        <w:jc w:val="both"/>
        <w:rPr>
          <w:rFonts w:ascii="微软雅黑" w:eastAsia="微软雅黑" w:hAnsi="微软雅黑" w:cs="微软雅黑"/>
          <w:kern w:val="2"/>
          <w:sz w:val="21"/>
          <w:szCs w:val="21"/>
          <w:lang w:val="en-US" w:bidi="ar"/>
        </w:rPr>
      </w:pPr>
    </w:p>
    <w:p w14:paraId="049EEC13" w14:textId="694C4225" w:rsidR="00362A16" w:rsidRDefault="00BA553D" w:rsidP="00362A16">
      <w:pPr>
        <w:widowControl w:val="0"/>
        <w:jc w:val="both"/>
        <w:rPr>
          <w:rFonts w:ascii="微软雅黑" w:eastAsia="微软雅黑" w:hAnsi="微软雅黑" w:cs="微软雅黑"/>
          <w:kern w:val="2"/>
          <w:sz w:val="21"/>
          <w:szCs w:val="21"/>
          <w:lang w:val="en-US" w:bidi="ar"/>
        </w:rPr>
      </w:pPr>
      <w:r>
        <w:rPr>
          <w:rFonts w:ascii="微软雅黑" w:eastAsia="微软雅黑" w:hAnsi="微软雅黑" w:cs="微软雅黑" w:hint="eastAsia"/>
          <w:kern w:val="2"/>
          <w:sz w:val="21"/>
          <w:szCs w:val="21"/>
          <w:lang w:val="en-US" w:bidi="ar"/>
        </w:rPr>
        <w:t>接着我们进行了环境的配置和代码框架的搭建，</w:t>
      </w:r>
      <w:r w:rsidR="00362A16">
        <w:rPr>
          <w:rFonts w:ascii="微软雅黑" w:eastAsia="微软雅黑" w:hAnsi="微软雅黑" w:cs="微软雅黑" w:hint="eastAsia"/>
          <w:kern w:val="2"/>
          <w:sz w:val="21"/>
          <w:szCs w:val="21"/>
          <w:lang w:val="en-US" w:bidi="ar"/>
        </w:rPr>
        <w:t>该部分由许呈睿和王海博完成，我们搭建了完整的高通量催化剂筛选与</w:t>
      </w:r>
      <w:proofErr w:type="gramStart"/>
      <w:r w:rsidR="00362A16">
        <w:rPr>
          <w:rFonts w:ascii="微软雅黑" w:eastAsia="微软雅黑" w:hAnsi="微软雅黑" w:cs="微软雅黑" w:hint="eastAsia"/>
          <w:kern w:val="2"/>
          <w:sz w:val="21"/>
          <w:szCs w:val="21"/>
          <w:lang w:val="en-US" w:bidi="ar"/>
        </w:rPr>
        <w:t>预训练</w:t>
      </w:r>
      <w:proofErr w:type="gramEnd"/>
      <w:r w:rsidR="00362A16">
        <w:rPr>
          <w:rFonts w:ascii="微软雅黑" w:eastAsia="微软雅黑" w:hAnsi="微软雅黑" w:cs="微软雅黑" w:hint="eastAsia"/>
          <w:kern w:val="2"/>
          <w:sz w:val="21"/>
          <w:szCs w:val="21"/>
          <w:lang w:val="en-US" w:bidi="ar"/>
        </w:rPr>
        <w:t>模型运用与调试框架，并能够实现其与各类晶体文件格式的转换与读取。</w:t>
      </w:r>
    </w:p>
    <w:p w14:paraId="65CB02E4" w14:textId="77777777" w:rsidR="00362A16" w:rsidRDefault="00362A16" w:rsidP="00362A16">
      <w:pPr>
        <w:widowControl w:val="0"/>
        <w:jc w:val="both"/>
        <w:rPr>
          <w:rFonts w:ascii="微软雅黑" w:eastAsia="微软雅黑" w:hAnsi="微软雅黑" w:cs="微软雅黑"/>
          <w:kern w:val="2"/>
          <w:sz w:val="21"/>
          <w:szCs w:val="21"/>
          <w:lang w:val="en-US" w:bidi="ar"/>
        </w:rPr>
      </w:pPr>
    </w:p>
    <w:p w14:paraId="54CEAD95" w14:textId="181D492F" w:rsidR="00DF3C51" w:rsidRDefault="00DF3C51" w:rsidP="00362A16">
      <w:pPr>
        <w:widowControl w:val="0"/>
        <w:jc w:val="both"/>
        <w:rPr>
          <w:rFonts w:ascii="微软雅黑" w:eastAsia="微软雅黑" w:hAnsi="微软雅黑" w:cs="微软雅黑"/>
          <w:kern w:val="2"/>
          <w:sz w:val="21"/>
          <w:szCs w:val="21"/>
          <w:lang w:val="en-US" w:bidi="ar"/>
        </w:rPr>
      </w:pPr>
      <w:r>
        <w:rPr>
          <w:rFonts w:ascii="微软雅黑" w:eastAsia="微软雅黑" w:hAnsi="微软雅黑" w:cs="微软雅黑" w:hint="eastAsia"/>
          <w:kern w:val="2"/>
          <w:sz w:val="21"/>
          <w:szCs w:val="21"/>
          <w:lang w:val="en-US" w:bidi="ar"/>
        </w:rPr>
        <w:t>在汇报展示阶段，小组成员在组长的带领下分工完成了PPT的制作，最终由许呈睿，倪汇振，方天翼同学汇报展示。特别感谢杨谨毓同学提供的理论指导与计算帮助！</w:t>
      </w:r>
    </w:p>
    <w:p w14:paraId="258AE38B" w14:textId="33079066" w:rsidR="00DF3C51" w:rsidRDefault="00DF3C51" w:rsidP="00362A16">
      <w:pPr>
        <w:widowControl w:val="0"/>
        <w:jc w:val="both"/>
        <w:rPr>
          <w:rFonts w:ascii="微软雅黑" w:eastAsia="微软雅黑" w:hAnsi="微软雅黑" w:cs="微软雅黑" w:hint="eastAsia"/>
          <w:kern w:val="2"/>
          <w:sz w:val="21"/>
          <w:szCs w:val="21"/>
          <w:lang w:val="en-US" w:bidi="ar"/>
        </w:rPr>
      </w:pPr>
      <w:r>
        <w:rPr>
          <w:rFonts w:ascii="微软雅黑" w:eastAsia="微软雅黑" w:hAnsi="微软雅黑" w:cs="微软雅黑" w:hint="eastAsia"/>
          <w:kern w:val="2"/>
          <w:sz w:val="21"/>
          <w:szCs w:val="21"/>
          <w:lang w:val="en-US" w:bidi="ar"/>
        </w:rPr>
        <w:t>详细分工如下：</w:t>
      </w:r>
    </w:p>
    <w:p w14:paraId="1D80AF1B" w14:textId="7EF1A7F3" w:rsidR="00DF3C51" w:rsidRPr="00DF3C51" w:rsidRDefault="00DF3C51" w:rsidP="00DF3C51">
      <w:pPr>
        <w:widowControl w:val="0"/>
        <w:jc w:val="both"/>
        <w:rPr>
          <w:rFonts w:ascii="Arial" w:eastAsia="微软雅黑" w:hAnsi="Arial" w:cs="Times New Roman" w:hint="eastAsia"/>
          <w:kern w:val="2"/>
          <w:sz w:val="21"/>
          <w:szCs w:val="21"/>
        </w:rPr>
      </w:pPr>
      <w:r>
        <w:rPr>
          <w:rFonts w:ascii="微软雅黑" w:eastAsia="微软雅黑" w:hAnsi="微软雅黑" w:cs="微软雅黑" w:hint="eastAsia"/>
          <w:kern w:val="2"/>
          <w:sz w:val="21"/>
          <w:szCs w:val="21"/>
          <w:lang w:val="en-US" w:bidi="ar"/>
        </w:rPr>
        <w:t>许呈睿：数据收集和预处理，机器学习模型开发</w:t>
      </w:r>
      <w:r>
        <w:rPr>
          <w:rFonts w:ascii="微软雅黑" w:eastAsia="微软雅黑" w:hAnsi="微软雅黑" w:cs="微软雅黑" w:hint="eastAsia"/>
          <w:kern w:val="2"/>
          <w:sz w:val="21"/>
          <w:szCs w:val="21"/>
          <w:lang w:val="en-US" w:bidi="ar"/>
        </w:rPr>
        <w:t>，数据筛选，PPT，论文修改与整合</w:t>
      </w:r>
    </w:p>
    <w:p w14:paraId="27924221" w14:textId="34734CC0" w:rsidR="00A92AF4" w:rsidRDefault="00000000" w:rsidP="00DF3C51">
      <w:pPr>
        <w:widowControl w:val="0"/>
        <w:jc w:val="both"/>
        <w:rPr>
          <w:rFonts w:ascii="Arial" w:eastAsia="微软雅黑" w:hAnsi="Arial" w:cs="Times New Roman"/>
          <w:kern w:val="2"/>
          <w:sz w:val="21"/>
          <w:szCs w:val="21"/>
          <w:lang w:val="en-US"/>
        </w:rPr>
      </w:pPr>
      <w:r>
        <w:rPr>
          <w:rFonts w:ascii="微软雅黑" w:eastAsia="微软雅黑" w:hAnsi="微软雅黑" w:cs="微软雅黑" w:hint="eastAsia"/>
          <w:kern w:val="2"/>
          <w:sz w:val="21"/>
          <w:szCs w:val="21"/>
          <w:lang w:val="en-US" w:bidi="ar"/>
        </w:rPr>
        <w:t>方天翼：DFT计算，</w:t>
      </w:r>
      <w:r w:rsidR="00DF3C51">
        <w:rPr>
          <w:rFonts w:ascii="微软雅黑" w:eastAsia="微软雅黑" w:hAnsi="微软雅黑" w:cs="微软雅黑" w:hint="eastAsia"/>
          <w:kern w:val="2"/>
          <w:sz w:val="21"/>
          <w:szCs w:val="21"/>
          <w:lang w:val="en-US" w:bidi="ar"/>
        </w:rPr>
        <w:t>汇报，理论指导</w:t>
      </w:r>
    </w:p>
    <w:p w14:paraId="30FFBD70" w14:textId="4B71739D" w:rsidR="00A92AF4" w:rsidRDefault="00000000" w:rsidP="00DF3C51">
      <w:pPr>
        <w:widowControl w:val="0"/>
        <w:jc w:val="both"/>
        <w:rPr>
          <w:rFonts w:ascii="Arial" w:eastAsia="微软雅黑" w:hAnsi="Arial" w:cs="Times New Roman"/>
          <w:kern w:val="2"/>
          <w:sz w:val="21"/>
          <w:szCs w:val="21"/>
          <w:lang w:val="en-US"/>
        </w:rPr>
      </w:pPr>
      <w:r>
        <w:rPr>
          <w:rFonts w:ascii="微软雅黑" w:eastAsia="微软雅黑" w:hAnsi="微软雅黑" w:cs="微软雅黑" w:hint="eastAsia"/>
          <w:kern w:val="2"/>
          <w:sz w:val="21"/>
          <w:szCs w:val="21"/>
          <w:lang w:val="en-US" w:bidi="ar"/>
        </w:rPr>
        <w:t>王海博：数据收集和预处理，机器学习模型开发，论文results部分</w:t>
      </w:r>
    </w:p>
    <w:p w14:paraId="5E13362C" w14:textId="226165A3" w:rsidR="00A92AF4" w:rsidRDefault="00000000" w:rsidP="00DF3C51">
      <w:pPr>
        <w:widowControl w:val="0"/>
        <w:jc w:val="both"/>
        <w:rPr>
          <w:rFonts w:ascii="微软雅黑" w:eastAsia="微软雅黑" w:hAnsi="微软雅黑" w:cs="微软雅黑" w:hint="eastAsia"/>
          <w:kern w:val="2"/>
          <w:sz w:val="21"/>
          <w:szCs w:val="21"/>
          <w:lang w:val="en-US" w:bidi="ar"/>
        </w:rPr>
      </w:pPr>
      <w:r>
        <w:rPr>
          <w:rFonts w:ascii="微软雅黑" w:eastAsia="微软雅黑" w:hAnsi="微软雅黑" w:cs="微软雅黑" w:hint="eastAsia"/>
          <w:kern w:val="2"/>
          <w:sz w:val="21"/>
          <w:szCs w:val="21"/>
          <w:lang w:val="en-US" w:bidi="ar"/>
        </w:rPr>
        <w:t>王景煊：数据可视化，PPT，论文methods部分，DFT计算</w:t>
      </w:r>
    </w:p>
    <w:p w14:paraId="2CC884C0" w14:textId="3A307344" w:rsidR="00A92AF4" w:rsidRDefault="00000000" w:rsidP="00DF3C51">
      <w:pPr>
        <w:widowControl w:val="0"/>
        <w:jc w:val="both"/>
        <w:rPr>
          <w:rFonts w:ascii="微软雅黑" w:eastAsia="微软雅黑" w:hAnsi="微软雅黑" w:cs="微软雅黑"/>
          <w:kern w:val="2"/>
          <w:sz w:val="21"/>
          <w:szCs w:val="21"/>
          <w:lang w:val="en-US" w:bidi="ar"/>
        </w:rPr>
      </w:pPr>
      <w:r>
        <w:rPr>
          <w:rFonts w:ascii="微软雅黑" w:eastAsia="微软雅黑" w:hAnsi="微软雅黑" w:cs="微软雅黑" w:hint="eastAsia"/>
          <w:kern w:val="2"/>
          <w:sz w:val="21"/>
          <w:szCs w:val="21"/>
          <w:lang w:val="en-US" w:bidi="ar"/>
        </w:rPr>
        <w:t>倪汇振：数据</w:t>
      </w:r>
      <w:r w:rsidR="004B3F5B">
        <w:rPr>
          <w:rFonts w:ascii="微软雅黑" w:eastAsia="微软雅黑" w:hAnsi="微软雅黑" w:cs="微软雅黑" w:hint="eastAsia"/>
          <w:kern w:val="2"/>
          <w:sz w:val="21"/>
          <w:szCs w:val="21"/>
          <w:lang w:val="en-US" w:bidi="ar"/>
        </w:rPr>
        <w:t>可视化</w:t>
      </w:r>
      <w:r>
        <w:rPr>
          <w:rFonts w:ascii="微软雅黑" w:eastAsia="微软雅黑" w:hAnsi="微软雅黑" w:cs="微软雅黑" w:hint="eastAsia"/>
          <w:kern w:val="2"/>
          <w:sz w:val="21"/>
          <w:szCs w:val="21"/>
          <w:lang w:val="en-US" w:bidi="ar"/>
        </w:rPr>
        <w:t>，PPT</w:t>
      </w:r>
      <w:r w:rsidR="00DF3C51">
        <w:rPr>
          <w:rFonts w:ascii="微软雅黑" w:eastAsia="微软雅黑" w:hAnsi="微软雅黑" w:cs="微软雅黑" w:hint="eastAsia"/>
          <w:kern w:val="2"/>
          <w:sz w:val="21"/>
          <w:szCs w:val="21"/>
          <w:lang w:val="en-US" w:bidi="ar"/>
        </w:rPr>
        <w:t xml:space="preserve"> 论文</w:t>
      </w:r>
      <w:r>
        <w:rPr>
          <w:rFonts w:ascii="微软雅黑" w:eastAsia="微软雅黑" w:hAnsi="微软雅黑" w:cs="微软雅黑" w:hint="eastAsia"/>
          <w:kern w:val="2"/>
          <w:sz w:val="21"/>
          <w:szCs w:val="21"/>
          <w:lang w:val="en-US" w:bidi="ar"/>
        </w:rPr>
        <w:t xml:space="preserve"> Introduction 和 </w:t>
      </w:r>
      <w:proofErr w:type="spellStart"/>
      <w:r>
        <w:rPr>
          <w:rFonts w:ascii="微软雅黑" w:eastAsia="微软雅黑" w:hAnsi="微软雅黑" w:cs="微软雅黑" w:hint="eastAsia"/>
          <w:kern w:val="2"/>
          <w:sz w:val="21"/>
          <w:szCs w:val="21"/>
          <w:lang w:val="en-US" w:bidi="ar"/>
        </w:rPr>
        <w:t>conclusion&amp;discussion</w:t>
      </w:r>
      <w:proofErr w:type="spellEnd"/>
      <w:r>
        <w:rPr>
          <w:rFonts w:ascii="微软雅黑" w:eastAsia="微软雅黑" w:hAnsi="微软雅黑" w:cs="微软雅黑" w:hint="eastAsia"/>
          <w:kern w:val="2"/>
          <w:sz w:val="21"/>
          <w:szCs w:val="21"/>
          <w:lang w:val="en-US" w:bidi="ar"/>
        </w:rPr>
        <w:t>部分</w:t>
      </w:r>
    </w:p>
    <w:p w14:paraId="3338A077" w14:textId="77777777" w:rsidR="00DF3C51" w:rsidRPr="00DF3C51" w:rsidRDefault="00DF3C51" w:rsidP="00DF3C51">
      <w:pPr>
        <w:widowControl w:val="0"/>
        <w:jc w:val="both"/>
        <w:rPr>
          <w:rFonts w:ascii="Arial" w:eastAsia="微软雅黑" w:hAnsi="Arial" w:cs="Times New Roman" w:hint="eastAsia"/>
          <w:kern w:val="2"/>
          <w:sz w:val="21"/>
          <w:szCs w:val="21"/>
          <w:lang w:val="en-US"/>
        </w:rPr>
      </w:pPr>
    </w:p>
    <w:p w14:paraId="541C2C68" w14:textId="3287926D" w:rsidR="00A92AF4" w:rsidRPr="00362A16" w:rsidRDefault="00000000" w:rsidP="00362A16">
      <w:pPr>
        <w:spacing w:before="60" w:after="60"/>
        <w:rPr>
          <w:rFonts w:ascii="Times New Roman" w:eastAsia="微软雅黑" w:hint="eastAsia"/>
          <w:b/>
          <w:bCs/>
          <w:sz w:val="28"/>
          <w:lang w:val="en-US"/>
        </w:rPr>
      </w:pPr>
      <w:r w:rsidRPr="00362A16">
        <w:rPr>
          <w:rFonts w:ascii="Times New Roman" w:eastAsia="微软雅黑"/>
          <w:b/>
          <w:bCs/>
          <w:sz w:val="28"/>
          <w:lang w:val="en-US"/>
        </w:rPr>
        <w:t>Reference</w:t>
      </w:r>
      <w:r w:rsidR="00DF3C51">
        <w:rPr>
          <w:rFonts w:ascii="Times New Roman" w:eastAsia="微软雅黑" w:hint="eastAsia"/>
          <w:b/>
          <w:bCs/>
          <w:sz w:val="28"/>
          <w:lang w:val="en-US"/>
        </w:rPr>
        <w:t>s</w:t>
      </w:r>
      <w:r w:rsidR="00362A16">
        <w:rPr>
          <w:rFonts w:ascii="Times New Roman" w:eastAsia="微软雅黑" w:hint="eastAsia"/>
          <w:b/>
          <w:bCs/>
          <w:sz w:val="28"/>
          <w:lang w:val="en-US"/>
        </w:rPr>
        <w:t>:</w:t>
      </w:r>
    </w:p>
    <w:p w14:paraId="57E08565" w14:textId="13B0CAFE"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[1]</w:t>
      </w:r>
      <w:r>
        <w:rPr>
          <w:rFonts w:ascii="微软雅黑" w:eastAsia="微软雅黑" w:hAnsi="微软雅黑"/>
          <w:sz w:val="18"/>
          <w:szCs w:val="18"/>
        </w:rPr>
        <w:tab/>
      </w:r>
      <w:r>
        <w:rPr>
          <w:rFonts w:ascii="微软雅黑" w:eastAsia="微软雅黑" w:hAnsi="微软雅黑" w:hint="eastAsia"/>
          <w:sz w:val="18"/>
          <w:szCs w:val="18"/>
        </w:rPr>
        <w:t xml:space="preserve"> </w:t>
      </w:r>
      <w:r w:rsidR="00464BA9" w:rsidRPr="00362A16">
        <w:rPr>
          <w:rFonts w:ascii="微软雅黑" w:eastAsia="微软雅黑" w:hAnsi="微软雅黑"/>
          <w:sz w:val="18"/>
          <w:szCs w:val="18"/>
        </w:rPr>
        <w:t>Chausson</w:t>
      </w:r>
      <w:r w:rsidR="00000000" w:rsidRPr="00362A16">
        <w:rPr>
          <w:rFonts w:ascii="微软雅黑" w:eastAsia="微软雅黑" w:hAnsi="微软雅黑"/>
          <w:sz w:val="18"/>
          <w:szCs w:val="18"/>
        </w:rPr>
        <w:t xml:space="preserve">, L., Das, A., Goyal, S., </w:t>
      </w:r>
      <w:proofErr w:type="spellStart"/>
      <w:r w:rsidR="00000000" w:rsidRPr="00362A16">
        <w:rPr>
          <w:rFonts w:ascii="微软雅黑" w:eastAsia="微软雅黑" w:hAnsi="微软雅黑"/>
          <w:sz w:val="18"/>
          <w:szCs w:val="18"/>
        </w:rPr>
        <w:t>Lavril</w:t>
      </w:r>
      <w:proofErr w:type="spellEnd"/>
      <w:r w:rsidR="00000000" w:rsidRPr="00362A16">
        <w:rPr>
          <w:rFonts w:ascii="微软雅黑" w:eastAsia="微软雅黑" w:hAnsi="微软雅黑"/>
          <w:sz w:val="18"/>
          <w:szCs w:val="18"/>
        </w:rPr>
        <w:t xml:space="preserve">, T., Shuaibi, M., Riviere, M., Tran, K., Heras-Domingo, J., Ho, C., Hu, W., </w:t>
      </w:r>
      <w:proofErr w:type="spellStart"/>
      <w:r w:rsidR="00000000" w:rsidRPr="00362A16">
        <w:rPr>
          <w:rFonts w:ascii="微软雅黑" w:eastAsia="微软雅黑" w:hAnsi="微软雅黑"/>
          <w:sz w:val="18"/>
          <w:szCs w:val="18"/>
        </w:rPr>
        <w:t>Palizhati</w:t>
      </w:r>
      <w:proofErr w:type="spellEnd"/>
      <w:r w:rsidR="00000000" w:rsidRPr="00362A16">
        <w:rPr>
          <w:rFonts w:ascii="微软雅黑" w:eastAsia="微软雅黑" w:hAnsi="微软雅黑"/>
          <w:sz w:val="18"/>
          <w:szCs w:val="18"/>
        </w:rPr>
        <w:t xml:space="preserve">, A., Sriram, A., Wood, B., Yoon, J., Parikh, D., </w:t>
      </w:r>
      <w:proofErr w:type="spellStart"/>
      <w:r w:rsidR="00000000" w:rsidRPr="00362A16">
        <w:rPr>
          <w:rFonts w:ascii="微软雅黑" w:eastAsia="微软雅黑" w:hAnsi="微软雅黑"/>
          <w:sz w:val="18"/>
          <w:szCs w:val="18"/>
        </w:rPr>
        <w:t>Zitnick</w:t>
      </w:r>
      <w:proofErr w:type="spellEnd"/>
      <w:r w:rsidR="00000000" w:rsidRPr="00362A16">
        <w:rPr>
          <w:rFonts w:ascii="微软雅黑" w:eastAsia="微软雅黑" w:hAnsi="微软雅黑"/>
          <w:sz w:val="18"/>
          <w:szCs w:val="18"/>
        </w:rPr>
        <w:t xml:space="preserve">, C. L., &amp; Ulissi, Z. (2021). Open Catalyst 2020 (OC20) Dataset and community challenges. </w:t>
      </w:r>
      <w:r w:rsidR="00000000" w:rsidRPr="00362A16">
        <w:rPr>
          <w:rFonts w:ascii="微软雅黑" w:eastAsia="微软雅黑" w:hAnsi="微软雅黑"/>
          <w:i/>
          <w:iCs/>
          <w:sz w:val="18"/>
          <w:szCs w:val="18"/>
        </w:rPr>
        <w:t>ACS Catalysis</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11</w:t>
      </w:r>
      <w:r w:rsidR="00000000" w:rsidRPr="00362A16">
        <w:rPr>
          <w:rFonts w:ascii="微软雅黑" w:eastAsia="微软雅黑" w:hAnsi="微软雅黑"/>
          <w:sz w:val="18"/>
          <w:szCs w:val="18"/>
        </w:rPr>
        <w:t>(10), 6059–6072. https://doi.org/10.1021/acscatal.0c04525</w:t>
      </w:r>
    </w:p>
    <w:p w14:paraId="5B6A57F2" w14:textId="00683B42"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[2] </w:t>
      </w:r>
      <w:r>
        <w:rPr>
          <w:rFonts w:ascii="微软雅黑" w:eastAsia="微软雅黑" w:hAnsi="微软雅黑"/>
          <w:sz w:val="18"/>
          <w:szCs w:val="18"/>
        </w:rPr>
        <w:tab/>
      </w:r>
      <w:r w:rsidR="00000000" w:rsidRPr="00362A16">
        <w:rPr>
          <w:rFonts w:ascii="微软雅黑" w:eastAsia="微软雅黑" w:hAnsi="微软雅黑"/>
          <w:sz w:val="18"/>
          <w:szCs w:val="18"/>
        </w:rPr>
        <w:t xml:space="preserve">Gasteiger, J., Becker, F., &amp; </w:t>
      </w:r>
      <w:proofErr w:type="spellStart"/>
      <w:r w:rsidR="00000000" w:rsidRPr="00362A16">
        <w:rPr>
          <w:rFonts w:ascii="微软雅黑" w:eastAsia="微软雅黑" w:hAnsi="微软雅黑"/>
          <w:sz w:val="18"/>
          <w:szCs w:val="18"/>
        </w:rPr>
        <w:t>Günnemann</w:t>
      </w:r>
      <w:proofErr w:type="spellEnd"/>
      <w:r w:rsidR="00000000" w:rsidRPr="00362A16">
        <w:rPr>
          <w:rFonts w:ascii="微软雅黑" w:eastAsia="微软雅黑" w:hAnsi="微软雅黑"/>
          <w:sz w:val="18"/>
          <w:szCs w:val="18"/>
        </w:rPr>
        <w:t xml:space="preserve">, S. (2021, June 2). </w:t>
      </w:r>
      <w:r w:rsidR="00000000" w:rsidRPr="00362A16">
        <w:rPr>
          <w:rFonts w:ascii="微软雅黑" w:eastAsia="微软雅黑" w:hAnsi="微软雅黑"/>
          <w:i/>
          <w:iCs/>
          <w:sz w:val="18"/>
          <w:szCs w:val="18"/>
        </w:rPr>
        <w:t>GEMNET: Universal Directional Graph Neural Networks for Molecules</w:t>
      </w:r>
      <w:r w:rsidR="00000000" w:rsidRPr="00362A16">
        <w:rPr>
          <w:rFonts w:ascii="微软雅黑" w:eastAsia="微软雅黑" w:hAnsi="微软雅黑"/>
          <w:sz w:val="18"/>
          <w:szCs w:val="18"/>
        </w:rPr>
        <w:t>. arXiv.org. https://arxiv.org/abs/2106.08903</w:t>
      </w:r>
    </w:p>
    <w:p w14:paraId="19BCBA1B" w14:textId="39B6034E"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[3] </w:t>
      </w:r>
      <w:r>
        <w:rPr>
          <w:rFonts w:ascii="微软雅黑" w:eastAsia="微软雅黑" w:hAnsi="微软雅黑"/>
          <w:sz w:val="18"/>
          <w:szCs w:val="18"/>
        </w:rPr>
        <w:tab/>
      </w:r>
      <w:r w:rsidR="00000000" w:rsidRPr="00362A16">
        <w:rPr>
          <w:rFonts w:ascii="微软雅黑" w:eastAsia="微软雅黑" w:hAnsi="微软雅黑"/>
          <w:sz w:val="18"/>
          <w:szCs w:val="18"/>
        </w:rPr>
        <w:t xml:space="preserve">Gasteiger, J., Shuaibi, M., Sriram, A., </w:t>
      </w:r>
      <w:proofErr w:type="spellStart"/>
      <w:r w:rsidR="00000000" w:rsidRPr="00362A16">
        <w:rPr>
          <w:rFonts w:ascii="微软雅黑" w:eastAsia="微软雅黑" w:hAnsi="微软雅黑"/>
          <w:sz w:val="18"/>
          <w:szCs w:val="18"/>
        </w:rPr>
        <w:t>Günnemann</w:t>
      </w:r>
      <w:proofErr w:type="spellEnd"/>
      <w:r w:rsidR="00000000" w:rsidRPr="00362A16">
        <w:rPr>
          <w:rFonts w:ascii="微软雅黑" w:eastAsia="微软雅黑" w:hAnsi="微软雅黑"/>
          <w:sz w:val="18"/>
          <w:szCs w:val="18"/>
        </w:rPr>
        <w:t xml:space="preserve">, S., Ulissi, Z., </w:t>
      </w:r>
      <w:proofErr w:type="spellStart"/>
      <w:r w:rsidR="00000000" w:rsidRPr="00362A16">
        <w:rPr>
          <w:rFonts w:ascii="微软雅黑" w:eastAsia="微软雅黑" w:hAnsi="微软雅黑"/>
          <w:sz w:val="18"/>
          <w:szCs w:val="18"/>
        </w:rPr>
        <w:t>Zitnick</w:t>
      </w:r>
      <w:proofErr w:type="spellEnd"/>
      <w:r w:rsidR="00000000" w:rsidRPr="00362A16">
        <w:rPr>
          <w:rFonts w:ascii="微软雅黑" w:eastAsia="微软雅黑" w:hAnsi="微软雅黑"/>
          <w:sz w:val="18"/>
          <w:szCs w:val="18"/>
        </w:rPr>
        <w:t xml:space="preserve">, C. L., &amp; Das, A. (2022). GEMNET-OC: Developing graph neural networks for large and diverse molecular simulation datasets. </w:t>
      </w:r>
      <w:proofErr w:type="spellStart"/>
      <w:r w:rsidR="00000000" w:rsidRPr="00362A16">
        <w:rPr>
          <w:rFonts w:ascii="微软雅黑" w:eastAsia="微软雅黑" w:hAnsi="微软雅黑"/>
          <w:i/>
          <w:iCs/>
          <w:sz w:val="18"/>
          <w:szCs w:val="18"/>
        </w:rPr>
        <w:t>arXiv</w:t>
      </w:r>
      <w:proofErr w:type="spellEnd"/>
      <w:r w:rsidR="00000000" w:rsidRPr="00362A16">
        <w:rPr>
          <w:rFonts w:ascii="微软雅黑" w:eastAsia="微软雅黑" w:hAnsi="微软雅黑"/>
          <w:i/>
          <w:iCs/>
          <w:sz w:val="18"/>
          <w:szCs w:val="18"/>
        </w:rPr>
        <w:t xml:space="preserve"> (Cornell University)</w:t>
      </w:r>
      <w:r w:rsidR="00000000" w:rsidRPr="00362A16">
        <w:rPr>
          <w:rFonts w:ascii="微软雅黑" w:eastAsia="微软雅黑" w:hAnsi="微软雅黑"/>
          <w:sz w:val="18"/>
          <w:szCs w:val="18"/>
        </w:rPr>
        <w:t>. https://doi.org/10.48550/arxiv.2204.02782</w:t>
      </w:r>
    </w:p>
    <w:p w14:paraId="783C5374" w14:textId="16A9A740"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[4] </w:t>
      </w:r>
      <w:r>
        <w:rPr>
          <w:rFonts w:ascii="微软雅黑" w:eastAsia="微软雅黑" w:hAnsi="微软雅黑"/>
          <w:sz w:val="18"/>
          <w:szCs w:val="18"/>
        </w:rPr>
        <w:tab/>
      </w:r>
      <w:r w:rsidR="00000000" w:rsidRPr="00362A16">
        <w:rPr>
          <w:rFonts w:ascii="微软雅黑" w:eastAsia="微软雅黑" w:hAnsi="微软雅黑"/>
          <w:sz w:val="18"/>
          <w:szCs w:val="18"/>
        </w:rPr>
        <w:t xml:space="preserve">Holladay, J., Hu, J., King, D., &amp; Wang, Y. (2009). An overview of hydrogen production technologies. </w:t>
      </w:r>
      <w:r w:rsidR="00000000" w:rsidRPr="00362A16">
        <w:rPr>
          <w:rFonts w:ascii="微软雅黑" w:eastAsia="微软雅黑" w:hAnsi="微软雅黑"/>
          <w:i/>
          <w:iCs/>
          <w:sz w:val="18"/>
          <w:szCs w:val="18"/>
        </w:rPr>
        <w:t>Catalysis Today</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139</w:t>
      </w:r>
      <w:r w:rsidR="00000000" w:rsidRPr="00362A16">
        <w:rPr>
          <w:rFonts w:ascii="微软雅黑" w:eastAsia="微软雅黑" w:hAnsi="微软雅黑"/>
          <w:sz w:val="18"/>
          <w:szCs w:val="18"/>
        </w:rPr>
        <w:t>(4), 244–260. https://doi.org/10.1016/j.cattod.2008.08.039</w:t>
      </w:r>
    </w:p>
    <w:p w14:paraId="3D5A8B71" w14:textId="0581F0EF"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[5] </w:t>
      </w:r>
      <w:r>
        <w:rPr>
          <w:rFonts w:ascii="微软雅黑" w:eastAsia="微软雅黑" w:hAnsi="微软雅黑"/>
          <w:sz w:val="18"/>
          <w:szCs w:val="18"/>
        </w:rPr>
        <w:tab/>
      </w:r>
      <w:r w:rsidR="00000000" w:rsidRPr="00362A16">
        <w:rPr>
          <w:rFonts w:ascii="微软雅黑" w:eastAsia="微软雅黑" w:hAnsi="微软雅黑"/>
          <w:sz w:val="18"/>
          <w:szCs w:val="18"/>
        </w:rPr>
        <w:t xml:space="preserve">Moon, J., Jang, J., Kim, E., Chung, Y., Yoo, S. J., &amp; Lee, Y. (2015). The nature of active sites of Ni2P electrocatalyst for hydrogen evolution reaction. </w:t>
      </w:r>
      <w:r w:rsidR="00000000" w:rsidRPr="00362A16">
        <w:rPr>
          <w:rFonts w:ascii="微软雅黑" w:eastAsia="微软雅黑" w:hAnsi="微软雅黑"/>
          <w:i/>
          <w:iCs/>
          <w:sz w:val="18"/>
          <w:szCs w:val="18"/>
        </w:rPr>
        <w:t>Journal of Catalysis</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326</w:t>
      </w:r>
      <w:r w:rsidR="00000000" w:rsidRPr="00362A16">
        <w:rPr>
          <w:rFonts w:ascii="微软雅黑" w:eastAsia="微软雅黑" w:hAnsi="微软雅黑"/>
          <w:sz w:val="18"/>
          <w:szCs w:val="18"/>
        </w:rPr>
        <w:t>, 92–99. https://doi.org/10.1016/j.jcat.2015.03.012</w:t>
      </w:r>
    </w:p>
    <w:p w14:paraId="55A44318" w14:textId="6504BA84"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lastRenderedPageBreak/>
        <w:t xml:space="preserve">[6] </w:t>
      </w:r>
      <w:r>
        <w:rPr>
          <w:rFonts w:ascii="微软雅黑" w:eastAsia="微软雅黑" w:hAnsi="微软雅黑"/>
          <w:sz w:val="18"/>
          <w:szCs w:val="18"/>
        </w:rPr>
        <w:tab/>
      </w:r>
      <w:r w:rsidR="00000000" w:rsidRPr="00362A16">
        <w:rPr>
          <w:rFonts w:ascii="微软雅黑" w:eastAsia="微软雅黑" w:hAnsi="微软雅黑"/>
          <w:sz w:val="18"/>
          <w:szCs w:val="18"/>
        </w:rPr>
        <w:t xml:space="preserve">Toyao, T., Maeno, Z., </w:t>
      </w:r>
      <w:proofErr w:type="spellStart"/>
      <w:r w:rsidR="00000000" w:rsidRPr="00362A16">
        <w:rPr>
          <w:rFonts w:ascii="微软雅黑" w:eastAsia="微软雅黑" w:hAnsi="微软雅黑"/>
          <w:sz w:val="18"/>
          <w:szCs w:val="18"/>
        </w:rPr>
        <w:t>Takakusagi</w:t>
      </w:r>
      <w:proofErr w:type="spellEnd"/>
      <w:r w:rsidR="00000000" w:rsidRPr="00362A16">
        <w:rPr>
          <w:rFonts w:ascii="微软雅黑" w:eastAsia="微软雅黑" w:hAnsi="微软雅黑"/>
          <w:sz w:val="18"/>
          <w:szCs w:val="18"/>
        </w:rPr>
        <w:t xml:space="preserve">, S., </w:t>
      </w:r>
      <w:proofErr w:type="spellStart"/>
      <w:r w:rsidR="00000000" w:rsidRPr="00362A16">
        <w:rPr>
          <w:rFonts w:ascii="微软雅黑" w:eastAsia="微软雅黑" w:hAnsi="微软雅黑"/>
          <w:sz w:val="18"/>
          <w:szCs w:val="18"/>
        </w:rPr>
        <w:t>Kamachi</w:t>
      </w:r>
      <w:proofErr w:type="spellEnd"/>
      <w:r w:rsidR="00000000" w:rsidRPr="00362A16">
        <w:rPr>
          <w:rFonts w:ascii="微软雅黑" w:eastAsia="微软雅黑" w:hAnsi="微软雅黑"/>
          <w:sz w:val="18"/>
          <w:szCs w:val="18"/>
        </w:rPr>
        <w:t xml:space="preserve">, T., Takigawa, I., &amp; Shimizu, K. (2019). Machine Learning for Catalysis Informatics: Recent applications and Prospects. </w:t>
      </w:r>
      <w:r w:rsidR="00000000" w:rsidRPr="00362A16">
        <w:rPr>
          <w:rFonts w:ascii="微软雅黑" w:eastAsia="微软雅黑" w:hAnsi="微软雅黑"/>
          <w:i/>
          <w:iCs/>
          <w:sz w:val="18"/>
          <w:szCs w:val="18"/>
        </w:rPr>
        <w:t>ACS Catalysis</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10</w:t>
      </w:r>
      <w:r w:rsidR="00000000" w:rsidRPr="00362A16">
        <w:rPr>
          <w:rFonts w:ascii="微软雅黑" w:eastAsia="微软雅黑" w:hAnsi="微软雅黑"/>
          <w:sz w:val="18"/>
          <w:szCs w:val="18"/>
        </w:rPr>
        <w:t>(3), 2260–2297. https://doi.org/10.1021/acscatal.9b04186</w:t>
      </w:r>
    </w:p>
    <w:p w14:paraId="19AECFC8" w14:textId="017454EA"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[7] </w:t>
      </w:r>
      <w:r>
        <w:rPr>
          <w:rFonts w:ascii="微软雅黑" w:eastAsia="微软雅黑" w:hAnsi="微软雅黑"/>
          <w:sz w:val="18"/>
          <w:szCs w:val="18"/>
        </w:rPr>
        <w:tab/>
      </w:r>
      <w:r w:rsidR="00000000" w:rsidRPr="00362A16">
        <w:rPr>
          <w:rFonts w:ascii="微软雅黑" w:eastAsia="微软雅黑" w:hAnsi="微软雅黑"/>
          <w:sz w:val="18"/>
          <w:szCs w:val="18"/>
        </w:rPr>
        <w:t xml:space="preserve">Wander, B., Broderick, K., &amp; Ulissi, Z. W. (2022, August 26). </w:t>
      </w:r>
      <w:proofErr w:type="spellStart"/>
      <w:r w:rsidR="00000000" w:rsidRPr="00362A16">
        <w:rPr>
          <w:rFonts w:ascii="微软雅黑" w:eastAsia="微软雅黑" w:hAnsi="微软雅黑"/>
          <w:i/>
          <w:iCs/>
          <w:sz w:val="18"/>
          <w:szCs w:val="18"/>
        </w:rPr>
        <w:t>Catlas</w:t>
      </w:r>
      <w:proofErr w:type="spellEnd"/>
      <w:r w:rsidR="00000000" w:rsidRPr="00362A16">
        <w:rPr>
          <w:rFonts w:ascii="微软雅黑" w:eastAsia="微软雅黑" w:hAnsi="微软雅黑"/>
          <w:i/>
          <w:iCs/>
          <w:sz w:val="18"/>
          <w:szCs w:val="18"/>
        </w:rPr>
        <w:t>: an automated framework for catalyst discovery demonstrated for direct syngas conversion</w:t>
      </w:r>
      <w:r w:rsidR="00000000" w:rsidRPr="00362A16">
        <w:rPr>
          <w:rFonts w:ascii="微软雅黑" w:eastAsia="微软雅黑" w:hAnsi="微软雅黑"/>
          <w:sz w:val="18"/>
          <w:szCs w:val="18"/>
        </w:rPr>
        <w:t>. arXiv.org. https://arxiv.org/abs/2208.12717</w:t>
      </w:r>
    </w:p>
    <w:p w14:paraId="6265D9E3" w14:textId="66EA4B41"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[8]</w:t>
      </w:r>
      <w:r>
        <w:rPr>
          <w:rFonts w:ascii="微软雅黑" w:eastAsia="微软雅黑" w:hAnsi="微软雅黑"/>
          <w:sz w:val="18"/>
          <w:szCs w:val="18"/>
        </w:rPr>
        <w:tab/>
      </w:r>
      <w:r>
        <w:rPr>
          <w:rFonts w:ascii="微软雅黑" w:eastAsia="微软雅黑" w:hAnsi="微软雅黑" w:hint="eastAsia"/>
          <w:sz w:val="18"/>
          <w:szCs w:val="18"/>
        </w:rPr>
        <w:t xml:space="preserve"> </w:t>
      </w:r>
      <w:r w:rsidR="00000000" w:rsidRPr="00362A16">
        <w:rPr>
          <w:rFonts w:ascii="微软雅黑" w:eastAsia="微软雅黑" w:hAnsi="微软雅黑"/>
          <w:sz w:val="18"/>
          <w:szCs w:val="18"/>
        </w:rPr>
        <w:t xml:space="preserve">Wang, D., Jin, L., Liu, M., Lee, T. G., Peera, S. G., &amp; Liu, C. (2023). The graphene-supported Lanthanum oxide cluster as efficient bifunctional electrocatalyst for oxygen reaction. </w:t>
      </w:r>
      <w:r w:rsidR="00000000" w:rsidRPr="00362A16">
        <w:rPr>
          <w:rFonts w:ascii="微软雅黑" w:eastAsia="微软雅黑" w:hAnsi="微软雅黑"/>
          <w:i/>
          <w:iCs/>
          <w:sz w:val="18"/>
          <w:szCs w:val="18"/>
        </w:rPr>
        <w:t>Molecular Catalysis</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535</w:t>
      </w:r>
      <w:r w:rsidR="00000000" w:rsidRPr="00362A16">
        <w:rPr>
          <w:rFonts w:ascii="微软雅黑" w:eastAsia="微软雅黑" w:hAnsi="微软雅黑"/>
          <w:sz w:val="18"/>
          <w:szCs w:val="18"/>
        </w:rPr>
        <w:t>, 112879. https://doi.org/10.1016/j.mcat.2022.112879</w:t>
      </w:r>
    </w:p>
    <w:p w14:paraId="7864B613" w14:textId="4555E9EF"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[9] </w:t>
      </w:r>
      <w:r>
        <w:rPr>
          <w:rFonts w:ascii="微软雅黑" w:eastAsia="微软雅黑" w:hAnsi="微软雅黑"/>
          <w:sz w:val="18"/>
          <w:szCs w:val="18"/>
        </w:rPr>
        <w:tab/>
      </w:r>
      <w:r w:rsidR="00000000" w:rsidRPr="00362A16">
        <w:rPr>
          <w:rFonts w:ascii="微软雅黑" w:eastAsia="微软雅黑" w:hAnsi="微软雅黑"/>
          <w:sz w:val="18"/>
          <w:szCs w:val="18"/>
        </w:rPr>
        <w:t xml:space="preserve">Wang, M., Zhang, L., Huang, M., Zhang, Q., Zhao, X., He, Y., Lin, S., Pan, J., &amp; Zhu, H. (2019). One-step synthesis of a hierarchical self-supported WS2 film for efficient electrocatalytic hydrogen evolution. </w:t>
      </w:r>
      <w:r w:rsidR="00000000" w:rsidRPr="00362A16">
        <w:rPr>
          <w:rFonts w:ascii="微软雅黑" w:eastAsia="微软雅黑" w:hAnsi="微软雅黑"/>
          <w:i/>
          <w:iCs/>
          <w:sz w:val="18"/>
          <w:szCs w:val="18"/>
        </w:rPr>
        <w:t>Journal of Materials Chemistry A</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7</w:t>
      </w:r>
      <w:r w:rsidR="00000000" w:rsidRPr="00362A16">
        <w:rPr>
          <w:rFonts w:ascii="微软雅黑" w:eastAsia="微软雅黑" w:hAnsi="微软雅黑"/>
          <w:sz w:val="18"/>
          <w:szCs w:val="18"/>
        </w:rPr>
        <w:t>(39), 22405–22411. https://doi.org/10.1039/c9ta07868a</w:t>
      </w:r>
    </w:p>
    <w:p w14:paraId="4AA9E439" w14:textId="0BFC5BA8"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[10]</w:t>
      </w:r>
      <w:r>
        <w:rPr>
          <w:rFonts w:ascii="微软雅黑" w:eastAsia="微软雅黑" w:hAnsi="微软雅黑"/>
          <w:sz w:val="18"/>
          <w:szCs w:val="18"/>
        </w:rPr>
        <w:tab/>
      </w:r>
      <w:r>
        <w:rPr>
          <w:rFonts w:ascii="微软雅黑" w:eastAsia="微软雅黑" w:hAnsi="微软雅黑" w:hint="eastAsia"/>
          <w:sz w:val="18"/>
          <w:szCs w:val="18"/>
        </w:rPr>
        <w:t xml:space="preserve"> </w:t>
      </w:r>
      <w:r w:rsidR="00000000" w:rsidRPr="00362A16">
        <w:rPr>
          <w:rFonts w:ascii="微软雅黑" w:eastAsia="微软雅黑" w:hAnsi="微软雅黑"/>
          <w:sz w:val="18"/>
          <w:szCs w:val="18"/>
        </w:rPr>
        <w:t>Wang, Y., Wu, W., Chen, R., Lin, C., Mu, S., &amp; Cheng, N. (2022). Reduced water dissociation barrier on constructing Pt-Co/</w:t>
      </w:r>
      <w:proofErr w:type="spellStart"/>
      <w:r w:rsidR="00000000" w:rsidRPr="00362A16">
        <w:rPr>
          <w:rFonts w:ascii="微软雅黑" w:eastAsia="微软雅黑" w:hAnsi="微软雅黑"/>
          <w:sz w:val="18"/>
          <w:szCs w:val="18"/>
        </w:rPr>
        <w:t>CoOx</w:t>
      </w:r>
      <w:proofErr w:type="spellEnd"/>
      <w:r w:rsidR="00000000" w:rsidRPr="00362A16">
        <w:rPr>
          <w:rFonts w:ascii="微软雅黑" w:eastAsia="微软雅黑" w:hAnsi="微软雅黑"/>
          <w:sz w:val="18"/>
          <w:szCs w:val="18"/>
        </w:rPr>
        <w:t xml:space="preserve"> interface for alkaline hydrogen evolution. </w:t>
      </w:r>
      <w:r w:rsidR="00000000" w:rsidRPr="00362A16">
        <w:rPr>
          <w:rFonts w:ascii="微软雅黑" w:eastAsia="微软雅黑" w:hAnsi="微软雅黑"/>
          <w:i/>
          <w:iCs/>
          <w:sz w:val="18"/>
          <w:szCs w:val="18"/>
        </w:rPr>
        <w:t>Nano Research</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15</w:t>
      </w:r>
      <w:r w:rsidR="00000000" w:rsidRPr="00362A16">
        <w:rPr>
          <w:rFonts w:ascii="微软雅黑" w:eastAsia="微软雅黑" w:hAnsi="微软雅黑"/>
          <w:sz w:val="18"/>
          <w:szCs w:val="18"/>
        </w:rPr>
        <w:t>(6), 4958–4964. https://doi.org/10.1007/s12274-022-4128-6</w:t>
      </w:r>
    </w:p>
    <w:p w14:paraId="72A53925" w14:textId="6B54E9BC" w:rsidR="00A92AF4" w:rsidRPr="00362A16" w:rsidRDefault="00362A16" w:rsidP="00362A16">
      <w:pPr>
        <w:pStyle w:val="af0"/>
        <w:spacing w:before="0" w:beforeAutospacing="0" w:after="0" w:afterAutospacing="0"/>
        <w:ind w:leftChars="100" w:left="960" w:hanging="720"/>
        <w:rPr>
          <w:rFonts w:ascii="微软雅黑" w:eastAsia="微软雅黑" w:hAnsi="微软雅黑"/>
          <w:sz w:val="18"/>
          <w:szCs w:val="18"/>
        </w:rPr>
      </w:pPr>
      <w:r>
        <w:rPr>
          <w:rFonts w:ascii="微软雅黑" w:eastAsia="微软雅黑" w:hAnsi="微软雅黑" w:hint="eastAsia"/>
          <w:sz w:val="18"/>
          <w:szCs w:val="18"/>
        </w:rPr>
        <w:t xml:space="preserve">[11] </w:t>
      </w:r>
      <w:r>
        <w:rPr>
          <w:rFonts w:ascii="微软雅黑" w:eastAsia="微软雅黑" w:hAnsi="微软雅黑"/>
          <w:sz w:val="18"/>
          <w:szCs w:val="18"/>
        </w:rPr>
        <w:tab/>
      </w:r>
      <w:r w:rsidR="00000000" w:rsidRPr="00362A16">
        <w:rPr>
          <w:rFonts w:ascii="微软雅黑" w:eastAsia="微软雅黑" w:hAnsi="微软雅黑"/>
          <w:sz w:val="18"/>
          <w:szCs w:val="18"/>
        </w:rPr>
        <w:t xml:space="preserve">Yang, W., Cheng, P., Li, Z., Lin, Y., Li, M., Zi, J., Shi, H., Li, G., Lian, Z., &amp; Li, H. (2022). Tuning the Cobalt–Platinum alloy regulating Single‐Atom platinum for highly efficient hydrogen evolution reaction. </w:t>
      </w:r>
      <w:r w:rsidR="00000000" w:rsidRPr="00362A16">
        <w:rPr>
          <w:rFonts w:ascii="微软雅黑" w:eastAsia="微软雅黑" w:hAnsi="微软雅黑"/>
          <w:i/>
          <w:iCs/>
          <w:sz w:val="18"/>
          <w:szCs w:val="18"/>
        </w:rPr>
        <w:t>Advanced Functional Materials</w:t>
      </w:r>
      <w:r w:rsidR="00000000" w:rsidRPr="00362A16">
        <w:rPr>
          <w:rFonts w:ascii="微软雅黑" w:eastAsia="微软雅黑" w:hAnsi="微软雅黑"/>
          <w:sz w:val="18"/>
          <w:szCs w:val="18"/>
        </w:rPr>
        <w:t xml:space="preserve">, </w:t>
      </w:r>
      <w:r w:rsidR="00000000" w:rsidRPr="00362A16">
        <w:rPr>
          <w:rFonts w:ascii="微软雅黑" w:eastAsia="微软雅黑" w:hAnsi="微软雅黑"/>
          <w:i/>
          <w:iCs/>
          <w:sz w:val="18"/>
          <w:szCs w:val="18"/>
        </w:rPr>
        <w:t>32</w:t>
      </w:r>
      <w:r w:rsidR="00000000" w:rsidRPr="00362A16">
        <w:rPr>
          <w:rFonts w:ascii="微软雅黑" w:eastAsia="微软雅黑" w:hAnsi="微软雅黑"/>
          <w:sz w:val="18"/>
          <w:szCs w:val="18"/>
        </w:rPr>
        <w:t>(39). https://doi.org/10.1002/adfm.202205920</w:t>
      </w:r>
    </w:p>
    <w:p w14:paraId="478E237F" w14:textId="77777777" w:rsidR="00A92AF4" w:rsidRPr="00362A16" w:rsidRDefault="00A92AF4" w:rsidP="00362A16">
      <w:pPr>
        <w:widowControl w:val="0"/>
        <w:autoSpaceDE w:val="0"/>
        <w:autoSpaceDN w:val="0"/>
        <w:adjustRightInd w:val="0"/>
        <w:ind w:left="640" w:hanging="640"/>
        <w:jc w:val="center"/>
        <w:rPr>
          <w:rFonts w:ascii="微软雅黑" w:eastAsia="微软雅黑" w:hAnsi="微软雅黑" w:cs="Times New Roman"/>
          <w:sz w:val="18"/>
          <w:szCs w:val="18"/>
          <w:lang w:val="en-US"/>
        </w:rPr>
      </w:pPr>
    </w:p>
    <w:sectPr w:rsidR="00A92AF4" w:rsidRPr="00362A16">
      <w:headerReference w:type="default" r:id="rId26"/>
      <w:footerReference w:type="even" r:id="rId27"/>
      <w:footerReference w:type="default" r:id="rId28"/>
      <w:type w:val="continuous"/>
      <w:pgSz w:w="11906" w:h="16838"/>
      <w:pgMar w:top="1701" w:right="1191" w:bottom="1701" w:left="119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BBD0B" w14:textId="77777777" w:rsidR="00A913E7" w:rsidRDefault="00A913E7">
      <w:pPr>
        <w:rPr>
          <w:rFonts w:hint="eastAsia"/>
        </w:rPr>
      </w:pPr>
      <w:r>
        <w:separator/>
      </w:r>
    </w:p>
  </w:endnote>
  <w:endnote w:type="continuationSeparator" w:id="0">
    <w:p w14:paraId="586AC03A" w14:textId="77777777" w:rsidR="00A913E7" w:rsidRDefault="00A913E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5"/>
      </w:rPr>
      <w:id w:val="-1920782158"/>
    </w:sdtPr>
    <w:sdtContent>
      <w:p w14:paraId="0C20ECF2" w14:textId="77777777" w:rsidR="00A92AF4" w:rsidRDefault="00000000">
        <w:pPr>
          <w:pStyle w:val="aa"/>
          <w:framePr w:wrap="auto" w:vAnchor="text" w:hAnchor="margin" w:xAlign="right" w:y="1"/>
          <w:rPr>
            <w:rStyle w:val="af5"/>
            <w:rFonts w:hint="eastAsia"/>
          </w:rPr>
        </w:pPr>
        <w:r>
          <w:rPr>
            <w:rStyle w:val="af5"/>
          </w:rPr>
          <w:fldChar w:fldCharType="begin"/>
        </w:r>
        <w:r>
          <w:rPr>
            <w:rStyle w:val="af5"/>
          </w:rPr>
          <w:instrText xml:space="preserve"> PAGE </w:instrText>
        </w:r>
        <w:r>
          <w:rPr>
            <w:rStyle w:val="af5"/>
          </w:rPr>
          <w:fldChar w:fldCharType="end"/>
        </w:r>
      </w:p>
    </w:sdtContent>
  </w:sdt>
  <w:p w14:paraId="662EA860" w14:textId="77777777" w:rsidR="00A92AF4" w:rsidRDefault="00A92AF4">
    <w:pPr>
      <w:pStyle w:val="aa"/>
      <w:ind w:right="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5"/>
      </w:rPr>
      <w:id w:val="24072779"/>
    </w:sdtPr>
    <w:sdtContent>
      <w:p w14:paraId="041D6C77" w14:textId="77777777" w:rsidR="00A92AF4" w:rsidRDefault="00000000">
        <w:pPr>
          <w:pStyle w:val="aa"/>
          <w:framePr w:wrap="auto" w:vAnchor="text" w:hAnchor="margin" w:xAlign="right" w:y="1"/>
          <w:rPr>
            <w:rStyle w:val="af5"/>
            <w:rFonts w:hint="eastAsia"/>
          </w:rPr>
        </w:pPr>
        <w:r>
          <w:rPr>
            <w:rStyle w:val="af5"/>
          </w:rPr>
          <w:fldChar w:fldCharType="begin"/>
        </w:r>
        <w:r>
          <w:rPr>
            <w:rStyle w:val="af5"/>
          </w:rPr>
          <w:instrText xml:space="preserve"> PAGE </w:instrText>
        </w:r>
        <w:r>
          <w:rPr>
            <w:rStyle w:val="af5"/>
          </w:rPr>
          <w:fldChar w:fldCharType="separate"/>
        </w:r>
        <w:r>
          <w:rPr>
            <w:rStyle w:val="af5"/>
          </w:rPr>
          <w:t>1</w:t>
        </w:r>
        <w:r>
          <w:rPr>
            <w:rStyle w:val="af5"/>
          </w:rPr>
          <w:fldChar w:fldCharType="end"/>
        </w:r>
      </w:p>
    </w:sdtContent>
  </w:sdt>
  <w:p w14:paraId="77D6CEBE" w14:textId="77777777" w:rsidR="00A92AF4" w:rsidRDefault="00A92AF4">
    <w:pPr>
      <w:pStyle w:val="aa"/>
      <w:ind w:right="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31E3B" w14:textId="77777777" w:rsidR="00A913E7" w:rsidRDefault="00A913E7">
      <w:pPr>
        <w:rPr>
          <w:rFonts w:hint="eastAsia"/>
        </w:rPr>
      </w:pPr>
      <w:r>
        <w:separator/>
      </w:r>
    </w:p>
  </w:footnote>
  <w:footnote w:type="continuationSeparator" w:id="0">
    <w:p w14:paraId="016F7F00" w14:textId="77777777" w:rsidR="00A913E7" w:rsidRDefault="00A913E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546" w:type="dxa"/>
      <w:tblInd w:w="-106" w:type="dxa"/>
      <w:tblLayout w:type="fixed"/>
      <w:tblCellMar>
        <w:left w:w="85" w:type="dxa"/>
      </w:tblCellMar>
      <w:tblLook w:val="04A0" w:firstRow="1" w:lastRow="0" w:firstColumn="1" w:lastColumn="0" w:noHBand="0" w:noVBand="1"/>
    </w:tblPr>
    <w:tblGrid>
      <w:gridCol w:w="3969"/>
      <w:gridCol w:w="5577"/>
    </w:tblGrid>
    <w:tr w:rsidR="00A92AF4" w14:paraId="3A14E41A" w14:textId="77777777">
      <w:trPr>
        <w:trHeight w:val="737"/>
      </w:trPr>
      <w:tc>
        <w:tcPr>
          <w:tcW w:w="3969" w:type="dxa"/>
        </w:tcPr>
        <w:p w14:paraId="3D1C8DF1" w14:textId="77777777" w:rsidR="00A92AF4" w:rsidRDefault="00000000">
          <w:pPr>
            <w:pStyle w:val="ac"/>
            <w:pBdr>
              <w:bottom w:val="none" w:sz="0" w:space="0" w:color="auto"/>
            </w:pBdr>
            <w:rPr>
              <w:rFonts w:ascii="Arial" w:hAnsi="Arial" w:cs="Arial"/>
              <w:sz w:val="10"/>
              <w:szCs w:val="10"/>
            </w:rPr>
          </w:pPr>
          <w:r>
            <w:rPr>
              <w:rFonts w:ascii="Arial" w:hAnsi="Arial" w:cs="Arial"/>
              <w:noProof/>
              <w:lang w:val="en-SG"/>
            </w:rPr>
            <w:drawing>
              <wp:inline distT="0" distB="0" distL="0" distR="0" wp14:anchorId="4E2D764E" wp14:editId="412074EA">
                <wp:extent cx="1445895" cy="674370"/>
                <wp:effectExtent l="0" t="0" r="190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
                        <a:srcRect t="17174" b="20695"/>
                        <a:stretch>
                          <a:fillRect/>
                        </a:stretch>
                      </pic:blipFill>
                      <pic:spPr>
                        <a:xfrm>
                          <a:off x="0" y="0"/>
                          <a:ext cx="1493139" cy="696490"/>
                        </a:xfrm>
                        <a:prstGeom prst="rect">
                          <a:avLst/>
                        </a:prstGeom>
                        <a:noFill/>
                        <a:ln>
                          <a:noFill/>
                        </a:ln>
                      </pic:spPr>
                    </pic:pic>
                  </a:graphicData>
                </a:graphic>
              </wp:inline>
            </w:drawing>
          </w:r>
        </w:p>
      </w:tc>
      <w:tc>
        <w:tcPr>
          <w:tcW w:w="5577" w:type="dxa"/>
        </w:tcPr>
        <w:p w14:paraId="0B7E1F76" w14:textId="77777777" w:rsidR="00A92AF4" w:rsidRDefault="00000000">
          <w:pPr>
            <w:pStyle w:val="ac"/>
            <w:pBdr>
              <w:bottom w:val="none" w:sz="0" w:space="0" w:color="auto"/>
            </w:pBdr>
            <w:tabs>
              <w:tab w:val="left" w:pos="1932"/>
            </w:tabs>
            <w:spacing w:before="80"/>
            <w:ind w:left="-125" w:firstLine="11"/>
            <w:jc w:val="right"/>
            <w:rPr>
              <w:rFonts w:ascii="Arial" w:hAnsi="Arial" w:cs="Arial"/>
              <w:b/>
              <w:bCs/>
              <w:sz w:val="28"/>
              <w:szCs w:val="28"/>
              <w:lang w:val="en-GB"/>
            </w:rPr>
          </w:pPr>
          <w:r>
            <w:rPr>
              <w:rFonts w:ascii="Arial" w:hAnsi="Arial" w:cs="Arial" w:hint="eastAsia"/>
              <w:b/>
              <w:bCs/>
              <w:sz w:val="28"/>
              <w:szCs w:val="28"/>
              <w:lang w:val="en-GB"/>
            </w:rPr>
            <w:t>信息科学理论与实践</w:t>
          </w:r>
        </w:p>
        <w:p w14:paraId="00899B3B" w14:textId="77777777" w:rsidR="00A92AF4" w:rsidRDefault="00000000">
          <w:pPr>
            <w:pStyle w:val="ac"/>
            <w:pBdr>
              <w:bottom w:val="none" w:sz="0" w:space="0" w:color="auto"/>
            </w:pBdr>
            <w:tabs>
              <w:tab w:val="left" w:pos="1932"/>
            </w:tabs>
            <w:spacing w:before="80"/>
            <w:ind w:left="-125" w:firstLine="11"/>
            <w:jc w:val="right"/>
            <w:rPr>
              <w:rFonts w:ascii="Arial" w:hAnsi="Arial" w:cs="Arial"/>
              <w:i/>
              <w:iCs/>
              <w:sz w:val="24"/>
              <w:szCs w:val="24"/>
            </w:rPr>
          </w:pPr>
          <w:r>
            <w:rPr>
              <w:rFonts w:ascii="Arial" w:hAnsi="Arial" w:cs="Arial"/>
              <w:b/>
              <w:bCs/>
              <w:sz w:val="24"/>
              <w:szCs w:val="24"/>
              <w:lang w:val="en-GB"/>
            </w:rPr>
            <w:t>(10340022-2)</w:t>
          </w:r>
          <w:r>
            <w:rPr>
              <w:rFonts w:ascii="Arial" w:hAnsi="Arial" w:cs="Arial"/>
              <w:i/>
              <w:iCs/>
              <w:sz w:val="24"/>
              <w:szCs w:val="24"/>
            </w:rPr>
            <w:t xml:space="preserve"> </w:t>
          </w:r>
        </w:p>
      </w:tc>
    </w:tr>
  </w:tbl>
  <w:p w14:paraId="4E7F7FBB" w14:textId="77777777" w:rsidR="00A92AF4" w:rsidRDefault="00A92AF4">
    <w:pPr>
      <w:pStyle w:val="ac"/>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5C2252"/>
    <w:multiLevelType w:val="multilevel"/>
    <w:tmpl w:val="545C2252"/>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12184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bordersDoNotSurroundHeader/>
  <w:bordersDoNotSurroundFooter/>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wNDE1MDczMjI1NLVQ0lEKTi0uzszPAykwqwUAmQQgFSwAAAA="/>
    <w:docVar w:name="commondata" w:val="eyJoZGlkIjoiZDhlNDAxNGQxMDQzNzA5NzQxYmYxOTczYmE0YjA5YjgifQ=="/>
  </w:docVars>
  <w:rsids>
    <w:rsidRoot w:val="000F24B3"/>
    <w:rsid w:val="00000388"/>
    <w:rsid w:val="000009A3"/>
    <w:rsid w:val="000029E8"/>
    <w:rsid w:val="00016944"/>
    <w:rsid w:val="000313F8"/>
    <w:rsid w:val="00031C3B"/>
    <w:rsid w:val="00033056"/>
    <w:rsid w:val="000348FB"/>
    <w:rsid w:val="000354CA"/>
    <w:rsid w:val="000372C8"/>
    <w:rsid w:val="00041B46"/>
    <w:rsid w:val="0004483D"/>
    <w:rsid w:val="00053C8C"/>
    <w:rsid w:val="00056E36"/>
    <w:rsid w:val="00061CBA"/>
    <w:rsid w:val="00070025"/>
    <w:rsid w:val="00077DA5"/>
    <w:rsid w:val="0008008B"/>
    <w:rsid w:val="000814E1"/>
    <w:rsid w:val="00084E44"/>
    <w:rsid w:val="000B1BA6"/>
    <w:rsid w:val="000C1EDD"/>
    <w:rsid w:val="000E29F1"/>
    <w:rsid w:val="000E6231"/>
    <w:rsid w:val="000E65A7"/>
    <w:rsid w:val="000E6609"/>
    <w:rsid w:val="000E7868"/>
    <w:rsid w:val="000F24B3"/>
    <w:rsid w:val="001008A9"/>
    <w:rsid w:val="00102008"/>
    <w:rsid w:val="0010546D"/>
    <w:rsid w:val="0011337B"/>
    <w:rsid w:val="00121994"/>
    <w:rsid w:val="00122020"/>
    <w:rsid w:val="00134165"/>
    <w:rsid w:val="00135751"/>
    <w:rsid w:val="00135EFB"/>
    <w:rsid w:val="0014305B"/>
    <w:rsid w:val="00144E10"/>
    <w:rsid w:val="00147E8C"/>
    <w:rsid w:val="00154ED0"/>
    <w:rsid w:val="00157FE0"/>
    <w:rsid w:val="001612C4"/>
    <w:rsid w:val="00161970"/>
    <w:rsid w:val="00164E27"/>
    <w:rsid w:val="00165565"/>
    <w:rsid w:val="001700DD"/>
    <w:rsid w:val="00170980"/>
    <w:rsid w:val="001806E9"/>
    <w:rsid w:val="001932AC"/>
    <w:rsid w:val="00197DBD"/>
    <w:rsid w:val="001A46DA"/>
    <w:rsid w:val="001C0696"/>
    <w:rsid w:val="001D3E34"/>
    <w:rsid w:val="001D6866"/>
    <w:rsid w:val="001D688E"/>
    <w:rsid w:val="001E2880"/>
    <w:rsid w:val="001E3893"/>
    <w:rsid w:val="001E6E0F"/>
    <w:rsid w:val="001E6FC0"/>
    <w:rsid w:val="001F3F22"/>
    <w:rsid w:val="00202BFB"/>
    <w:rsid w:val="00207161"/>
    <w:rsid w:val="00212601"/>
    <w:rsid w:val="00215200"/>
    <w:rsid w:val="00220FF3"/>
    <w:rsid w:val="002366BD"/>
    <w:rsid w:val="0023789F"/>
    <w:rsid w:val="00242207"/>
    <w:rsid w:val="00243E81"/>
    <w:rsid w:val="00244B1C"/>
    <w:rsid w:val="00262CC7"/>
    <w:rsid w:val="00266727"/>
    <w:rsid w:val="002706FB"/>
    <w:rsid w:val="00270777"/>
    <w:rsid w:val="00273B1A"/>
    <w:rsid w:val="00276A46"/>
    <w:rsid w:val="002941E5"/>
    <w:rsid w:val="00294576"/>
    <w:rsid w:val="002A2D47"/>
    <w:rsid w:val="002B3CC4"/>
    <w:rsid w:val="002B5B10"/>
    <w:rsid w:val="002C0E36"/>
    <w:rsid w:val="002C184F"/>
    <w:rsid w:val="002C418D"/>
    <w:rsid w:val="002D7CED"/>
    <w:rsid w:val="002E1FC2"/>
    <w:rsid w:val="002F4665"/>
    <w:rsid w:val="0030288E"/>
    <w:rsid w:val="00303FC5"/>
    <w:rsid w:val="00304C7F"/>
    <w:rsid w:val="00316E13"/>
    <w:rsid w:val="00317F56"/>
    <w:rsid w:val="00323F29"/>
    <w:rsid w:val="00343479"/>
    <w:rsid w:val="00343D67"/>
    <w:rsid w:val="00345339"/>
    <w:rsid w:val="00350465"/>
    <w:rsid w:val="00350769"/>
    <w:rsid w:val="00352464"/>
    <w:rsid w:val="00357DB3"/>
    <w:rsid w:val="00362A16"/>
    <w:rsid w:val="0036744D"/>
    <w:rsid w:val="0037113E"/>
    <w:rsid w:val="00385C62"/>
    <w:rsid w:val="00390799"/>
    <w:rsid w:val="003908E7"/>
    <w:rsid w:val="003958C0"/>
    <w:rsid w:val="003A26E3"/>
    <w:rsid w:val="003A4D73"/>
    <w:rsid w:val="003A7607"/>
    <w:rsid w:val="003C6620"/>
    <w:rsid w:val="003E06B6"/>
    <w:rsid w:val="003E2F0D"/>
    <w:rsid w:val="003E3A5E"/>
    <w:rsid w:val="003E5DF3"/>
    <w:rsid w:val="003E6B60"/>
    <w:rsid w:val="003F53F6"/>
    <w:rsid w:val="00400D8C"/>
    <w:rsid w:val="0040361A"/>
    <w:rsid w:val="00420F23"/>
    <w:rsid w:val="004228E0"/>
    <w:rsid w:val="0042431E"/>
    <w:rsid w:val="00431C17"/>
    <w:rsid w:val="00432601"/>
    <w:rsid w:val="00432636"/>
    <w:rsid w:val="00437FB8"/>
    <w:rsid w:val="00447876"/>
    <w:rsid w:val="00456260"/>
    <w:rsid w:val="00460E44"/>
    <w:rsid w:val="00463EA2"/>
    <w:rsid w:val="00464BA9"/>
    <w:rsid w:val="004703D4"/>
    <w:rsid w:val="0047060F"/>
    <w:rsid w:val="004723CA"/>
    <w:rsid w:val="004744A5"/>
    <w:rsid w:val="00475797"/>
    <w:rsid w:val="00481A3F"/>
    <w:rsid w:val="00481D86"/>
    <w:rsid w:val="00485675"/>
    <w:rsid w:val="00490592"/>
    <w:rsid w:val="00496482"/>
    <w:rsid w:val="004A4CCF"/>
    <w:rsid w:val="004A7281"/>
    <w:rsid w:val="004B3F5B"/>
    <w:rsid w:val="004B6839"/>
    <w:rsid w:val="004C0B17"/>
    <w:rsid w:val="004C1154"/>
    <w:rsid w:val="004C2259"/>
    <w:rsid w:val="004D00F5"/>
    <w:rsid w:val="004D4D09"/>
    <w:rsid w:val="004D5A16"/>
    <w:rsid w:val="004E4F60"/>
    <w:rsid w:val="004F0998"/>
    <w:rsid w:val="004F25C5"/>
    <w:rsid w:val="00505C07"/>
    <w:rsid w:val="00520736"/>
    <w:rsid w:val="00520C7C"/>
    <w:rsid w:val="005471C1"/>
    <w:rsid w:val="00560943"/>
    <w:rsid w:val="005638D0"/>
    <w:rsid w:val="0058102F"/>
    <w:rsid w:val="00585C80"/>
    <w:rsid w:val="00592446"/>
    <w:rsid w:val="00595A5D"/>
    <w:rsid w:val="005A54D8"/>
    <w:rsid w:val="005C0165"/>
    <w:rsid w:val="005D33D2"/>
    <w:rsid w:val="005D68BD"/>
    <w:rsid w:val="005E0149"/>
    <w:rsid w:val="005E1934"/>
    <w:rsid w:val="005E387E"/>
    <w:rsid w:val="005F5843"/>
    <w:rsid w:val="005F672D"/>
    <w:rsid w:val="00606E92"/>
    <w:rsid w:val="00610ACC"/>
    <w:rsid w:val="00614608"/>
    <w:rsid w:val="0061660C"/>
    <w:rsid w:val="00622392"/>
    <w:rsid w:val="00636619"/>
    <w:rsid w:val="0063773C"/>
    <w:rsid w:val="00647923"/>
    <w:rsid w:val="0065278A"/>
    <w:rsid w:val="00661A57"/>
    <w:rsid w:val="006627C1"/>
    <w:rsid w:val="00683EE1"/>
    <w:rsid w:val="00687A01"/>
    <w:rsid w:val="00691B4F"/>
    <w:rsid w:val="00694AD1"/>
    <w:rsid w:val="006A7ECF"/>
    <w:rsid w:val="006B5831"/>
    <w:rsid w:val="006C4084"/>
    <w:rsid w:val="006D14A6"/>
    <w:rsid w:val="006D2BF9"/>
    <w:rsid w:val="006D4E41"/>
    <w:rsid w:val="006F6FF8"/>
    <w:rsid w:val="00704B0B"/>
    <w:rsid w:val="00705A6E"/>
    <w:rsid w:val="00707D59"/>
    <w:rsid w:val="0071280C"/>
    <w:rsid w:val="007217B5"/>
    <w:rsid w:val="007253E8"/>
    <w:rsid w:val="007267CB"/>
    <w:rsid w:val="00726F34"/>
    <w:rsid w:val="007321CF"/>
    <w:rsid w:val="00732340"/>
    <w:rsid w:val="007360FB"/>
    <w:rsid w:val="00743514"/>
    <w:rsid w:val="00747D93"/>
    <w:rsid w:val="007525D2"/>
    <w:rsid w:val="00754C62"/>
    <w:rsid w:val="007553DC"/>
    <w:rsid w:val="007632E7"/>
    <w:rsid w:val="0076594B"/>
    <w:rsid w:val="007826D9"/>
    <w:rsid w:val="007A507E"/>
    <w:rsid w:val="007B3AAF"/>
    <w:rsid w:val="007B520B"/>
    <w:rsid w:val="007D7593"/>
    <w:rsid w:val="007E5E46"/>
    <w:rsid w:val="007E7DC3"/>
    <w:rsid w:val="00803103"/>
    <w:rsid w:val="00804CB9"/>
    <w:rsid w:val="00806810"/>
    <w:rsid w:val="0080798B"/>
    <w:rsid w:val="00820839"/>
    <w:rsid w:val="00832ECE"/>
    <w:rsid w:val="00835903"/>
    <w:rsid w:val="00850592"/>
    <w:rsid w:val="00850809"/>
    <w:rsid w:val="0085354B"/>
    <w:rsid w:val="00857FB5"/>
    <w:rsid w:val="00870236"/>
    <w:rsid w:val="00876678"/>
    <w:rsid w:val="00880BB9"/>
    <w:rsid w:val="0089422E"/>
    <w:rsid w:val="008A5CA8"/>
    <w:rsid w:val="008A5CCE"/>
    <w:rsid w:val="008B6094"/>
    <w:rsid w:val="008D5E4B"/>
    <w:rsid w:val="008F21B5"/>
    <w:rsid w:val="008F7D7C"/>
    <w:rsid w:val="009046E7"/>
    <w:rsid w:val="00912A4C"/>
    <w:rsid w:val="009224CC"/>
    <w:rsid w:val="00923DA1"/>
    <w:rsid w:val="00923F6C"/>
    <w:rsid w:val="0092509E"/>
    <w:rsid w:val="009425CE"/>
    <w:rsid w:val="00971922"/>
    <w:rsid w:val="009752C7"/>
    <w:rsid w:val="00977828"/>
    <w:rsid w:val="009855D0"/>
    <w:rsid w:val="009856C9"/>
    <w:rsid w:val="0098690B"/>
    <w:rsid w:val="009873C5"/>
    <w:rsid w:val="00990D82"/>
    <w:rsid w:val="009A55AD"/>
    <w:rsid w:val="009A7EDD"/>
    <w:rsid w:val="009B22CE"/>
    <w:rsid w:val="009B58C5"/>
    <w:rsid w:val="009B730B"/>
    <w:rsid w:val="009D2A05"/>
    <w:rsid w:val="009D74C5"/>
    <w:rsid w:val="009F3313"/>
    <w:rsid w:val="009F48A0"/>
    <w:rsid w:val="00A00304"/>
    <w:rsid w:val="00A03BBD"/>
    <w:rsid w:val="00A1143B"/>
    <w:rsid w:val="00A12020"/>
    <w:rsid w:val="00A13179"/>
    <w:rsid w:val="00A20C97"/>
    <w:rsid w:val="00A25FF4"/>
    <w:rsid w:val="00A26133"/>
    <w:rsid w:val="00A27ECF"/>
    <w:rsid w:val="00A43D7B"/>
    <w:rsid w:val="00A47BAF"/>
    <w:rsid w:val="00A54FF8"/>
    <w:rsid w:val="00A6297C"/>
    <w:rsid w:val="00A72F8F"/>
    <w:rsid w:val="00A85437"/>
    <w:rsid w:val="00A855F2"/>
    <w:rsid w:val="00A913E7"/>
    <w:rsid w:val="00A91413"/>
    <w:rsid w:val="00A92AF4"/>
    <w:rsid w:val="00A96B16"/>
    <w:rsid w:val="00AA6993"/>
    <w:rsid w:val="00AA7D92"/>
    <w:rsid w:val="00AB6AA9"/>
    <w:rsid w:val="00AC601F"/>
    <w:rsid w:val="00AC6884"/>
    <w:rsid w:val="00AC7C74"/>
    <w:rsid w:val="00AD60D6"/>
    <w:rsid w:val="00AE34E7"/>
    <w:rsid w:val="00B05E39"/>
    <w:rsid w:val="00B214B5"/>
    <w:rsid w:val="00B2714F"/>
    <w:rsid w:val="00B309A4"/>
    <w:rsid w:val="00B31236"/>
    <w:rsid w:val="00B33D8B"/>
    <w:rsid w:val="00B5649D"/>
    <w:rsid w:val="00B64BA6"/>
    <w:rsid w:val="00B70179"/>
    <w:rsid w:val="00B722B7"/>
    <w:rsid w:val="00B85FCF"/>
    <w:rsid w:val="00B86F8F"/>
    <w:rsid w:val="00B90ABF"/>
    <w:rsid w:val="00B955F0"/>
    <w:rsid w:val="00BA026F"/>
    <w:rsid w:val="00BA383A"/>
    <w:rsid w:val="00BA3D3C"/>
    <w:rsid w:val="00BA553D"/>
    <w:rsid w:val="00BA58AE"/>
    <w:rsid w:val="00BB3D74"/>
    <w:rsid w:val="00BE4D00"/>
    <w:rsid w:val="00BF78BE"/>
    <w:rsid w:val="00C05469"/>
    <w:rsid w:val="00C12FB6"/>
    <w:rsid w:val="00C23CAD"/>
    <w:rsid w:val="00C251C9"/>
    <w:rsid w:val="00C34229"/>
    <w:rsid w:val="00C4024B"/>
    <w:rsid w:val="00C419E1"/>
    <w:rsid w:val="00C43E16"/>
    <w:rsid w:val="00C564E0"/>
    <w:rsid w:val="00C62849"/>
    <w:rsid w:val="00C63DB8"/>
    <w:rsid w:val="00C6575A"/>
    <w:rsid w:val="00C71EB2"/>
    <w:rsid w:val="00C7585F"/>
    <w:rsid w:val="00C7631C"/>
    <w:rsid w:val="00C77B8C"/>
    <w:rsid w:val="00C8056F"/>
    <w:rsid w:val="00C9014B"/>
    <w:rsid w:val="00C938CB"/>
    <w:rsid w:val="00C940D6"/>
    <w:rsid w:val="00C94623"/>
    <w:rsid w:val="00C96761"/>
    <w:rsid w:val="00C96F29"/>
    <w:rsid w:val="00CA0DFF"/>
    <w:rsid w:val="00CA2416"/>
    <w:rsid w:val="00CA2B87"/>
    <w:rsid w:val="00CC66AE"/>
    <w:rsid w:val="00CD5287"/>
    <w:rsid w:val="00CE2A5D"/>
    <w:rsid w:val="00CE5318"/>
    <w:rsid w:val="00CE6C74"/>
    <w:rsid w:val="00CE7DDC"/>
    <w:rsid w:val="00CF313A"/>
    <w:rsid w:val="00CF567C"/>
    <w:rsid w:val="00CF65D5"/>
    <w:rsid w:val="00D10155"/>
    <w:rsid w:val="00D2307B"/>
    <w:rsid w:val="00D2394B"/>
    <w:rsid w:val="00D25C40"/>
    <w:rsid w:val="00D41A0E"/>
    <w:rsid w:val="00D4312A"/>
    <w:rsid w:val="00D467D9"/>
    <w:rsid w:val="00D51945"/>
    <w:rsid w:val="00D55452"/>
    <w:rsid w:val="00D64812"/>
    <w:rsid w:val="00D71FA2"/>
    <w:rsid w:val="00D83D7D"/>
    <w:rsid w:val="00D843ED"/>
    <w:rsid w:val="00D8637A"/>
    <w:rsid w:val="00DA047B"/>
    <w:rsid w:val="00DA31F6"/>
    <w:rsid w:val="00DC036A"/>
    <w:rsid w:val="00DC29BF"/>
    <w:rsid w:val="00DC39E4"/>
    <w:rsid w:val="00DC4183"/>
    <w:rsid w:val="00DC425F"/>
    <w:rsid w:val="00DE6689"/>
    <w:rsid w:val="00DF1A55"/>
    <w:rsid w:val="00DF3C51"/>
    <w:rsid w:val="00E14C62"/>
    <w:rsid w:val="00E17444"/>
    <w:rsid w:val="00E22689"/>
    <w:rsid w:val="00E24BA2"/>
    <w:rsid w:val="00E3041A"/>
    <w:rsid w:val="00E319C8"/>
    <w:rsid w:val="00E41BAE"/>
    <w:rsid w:val="00E43680"/>
    <w:rsid w:val="00E472D5"/>
    <w:rsid w:val="00E50320"/>
    <w:rsid w:val="00E504D0"/>
    <w:rsid w:val="00E61805"/>
    <w:rsid w:val="00E631EE"/>
    <w:rsid w:val="00E65616"/>
    <w:rsid w:val="00E70762"/>
    <w:rsid w:val="00E72EAD"/>
    <w:rsid w:val="00E72EF7"/>
    <w:rsid w:val="00E9370D"/>
    <w:rsid w:val="00E94B13"/>
    <w:rsid w:val="00EB1683"/>
    <w:rsid w:val="00EB3C75"/>
    <w:rsid w:val="00EC6FCB"/>
    <w:rsid w:val="00EE011A"/>
    <w:rsid w:val="00EE1A49"/>
    <w:rsid w:val="00EE6C87"/>
    <w:rsid w:val="00EF65B3"/>
    <w:rsid w:val="00F00578"/>
    <w:rsid w:val="00F02087"/>
    <w:rsid w:val="00F0701D"/>
    <w:rsid w:val="00F1171F"/>
    <w:rsid w:val="00F162D8"/>
    <w:rsid w:val="00F30C52"/>
    <w:rsid w:val="00F34424"/>
    <w:rsid w:val="00F357E5"/>
    <w:rsid w:val="00F35D80"/>
    <w:rsid w:val="00F414BF"/>
    <w:rsid w:val="00F43BFA"/>
    <w:rsid w:val="00F46347"/>
    <w:rsid w:val="00F46918"/>
    <w:rsid w:val="00F47C2B"/>
    <w:rsid w:val="00F536F7"/>
    <w:rsid w:val="00F5755B"/>
    <w:rsid w:val="00F61A7D"/>
    <w:rsid w:val="00F624E5"/>
    <w:rsid w:val="00F8012F"/>
    <w:rsid w:val="00F86A57"/>
    <w:rsid w:val="00F91781"/>
    <w:rsid w:val="00F94CC7"/>
    <w:rsid w:val="00FA4895"/>
    <w:rsid w:val="00FA6BCB"/>
    <w:rsid w:val="00FB011A"/>
    <w:rsid w:val="00FB1D98"/>
    <w:rsid w:val="00FC5766"/>
    <w:rsid w:val="00FD5E9A"/>
    <w:rsid w:val="00FE16C3"/>
    <w:rsid w:val="00FE51A3"/>
    <w:rsid w:val="00FF458F"/>
    <w:rsid w:val="00FF49E1"/>
    <w:rsid w:val="03D12446"/>
    <w:rsid w:val="05701334"/>
    <w:rsid w:val="06036733"/>
    <w:rsid w:val="0C1666D9"/>
    <w:rsid w:val="0C546E1E"/>
    <w:rsid w:val="133F06B3"/>
    <w:rsid w:val="13BF4DFE"/>
    <w:rsid w:val="1D6F7447"/>
    <w:rsid w:val="230E751E"/>
    <w:rsid w:val="25C93F81"/>
    <w:rsid w:val="2B325B3F"/>
    <w:rsid w:val="2BDA0688"/>
    <w:rsid w:val="2CC11831"/>
    <w:rsid w:val="2F6A16F7"/>
    <w:rsid w:val="34117602"/>
    <w:rsid w:val="37BF5442"/>
    <w:rsid w:val="3A271342"/>
    <w:rsid w:val="3C156E49"/>
    <w:rsid w:val="3DC40E1F"/>
    <w:rsid w:val="43E9708A"/>
    <w:rsid w:val="44530252"/>
    <w:rsid w:val="449653DA"/>
    <w:rsid w:val="51EF4012"/>
    <w:rsid w:val="5402441A"/>
    <w:rsid w:val="55DE4608"/>
    <w:rsid w:val="5714172D"/>
    <w:rsid w:val="5A5C1285"/>
    <w:rsid w:val="611C318E"/>
    <w:rsid w:val="62D91B24"/>
    <w:rsid w:val="6589499B"/>
    <w:rsid w:val="6BA82CD4"/>
    <w:rsid w:val="6C3428BB"/>
    <w:rsid w:val="6D002DE2"/>
    <w:rsid w:val="70F254CE"/>
    <w:rsid w:val="73B162F0"/>
    <w:rsid w:val="762A5C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93E6A31"/>
  <w14:defaultImageDpi w14:val="32767"/>
  <w15:docId w15:val="{3DB2F106-B9C0-40A4-9B7D-AA95DE2AB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nhideWhenUsed="1" w:qFormat="1"/>
    <w:lsdException w:name="header" w:semiHidden="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80C"/>
    <w:rPr>
      <w:rFonts w:ascii="宋体" w:hAnsi="宋体" w:cstheme="minorBidi"/>
      <w:sz w:val="24"/>
      <w:szCs w:val="24"/>
      <w:lang w:val="en-GB"/>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pPr>
      <w:keepNext/>
      <w:widowControl w:val="0"/>
      <w:jc w:val="both"/>
      <w:outlineLvl w:val="2"/>
    </w:pPr>
    <w:rPr>
      <w:rFonts w:ascii="Times New Roman" w:hAnsi="Times New Roman" w:cs="Times New Roman"/>
      <w:b/>
      <w:bCs/>
      <w:kern w:val="2"/>
      <w:sz w:val="1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pPr>
      <w:widowControl w:val="0"/>
      <w:jc w:val="both"/>
    </w:pPr>
    <w:rPr>
      <w:rFonts w:ascii="Times New Roman" w:hAnsi="Times New Roman" w:cs="Times New Roman"/>
      <w:kern w:val="2"/>
      <w:sz w:val="20"/>
      <w:szCs w:val="20"/>
      <w:lang w:val="en-US"/>
    </w:rPr>
  </w:style>
  <w:style w:type="paragraph" w:styleId="a6">
    <w:name w:val="Body Text"/>
    <w:basedOn w:val="a"/>
    <w:link w:val="a7"/>
    <w:semiHidden/>
    <w:qFormat/>
    <w:pPr>
      <w:widowControl w:val="0"/>
      <w:jc w:val="both"/>
    </w:pPr>
    <w:rPr>
      <w:rFonts w:ascii="Times New Roman" w:hAnsi="Times New Roman" w:cs="Times New Roman"/>
      <w:color w:val="FF0000"/>
      <w:kern w:val="2"/>
      <w:sz w:val="21"/>
      <w:lang w:val="en-US"/>
    </w:rPr>
  </w:style>
  <w:style w:type="paragraph" w:styleId="a8">
    <w:name w:val="Balloon Text"/>
    <w:basedOn w:val="a"/>
    <w:link w:val="a9"/>
    <w:uiPriority w:val="99"/>
    <w:semiHidden/>
    <w:unhideWhenUsed/>
    <w:qFormat/>
    <w:rPr>
      <w:rFonts w:ascii="Times New Roman" w:hAnsi="Times New Roman" w:cs="Times New Roman"/>
      <w:sz w:val="18"/>
      <w:szCs w:val="18"/>
    </w:rPr>
  </w:style>
  <w:style w:type="paragraph" w:styleId="aa">
    <w:name w:val="footer"/>
    <w:basedOn w:val="a"/>
    <w:link w:val="ab"/>
    <w:uiPriority w:val="99"/>
    <w:unhideWhenUsed/>
    <w:qFormat/>
    <w:pPr>
      <w:tabs>
        <w:tab w:val="center" w:pos="4320"/>
        <w:tab w:val="right" w:pos="8640"/>
      </w:tabs>
    </w:pPr>
  </w:style>
  <w:style w:type="paragraph" w:styleId="ac">
    <w:name w:val="header"/>
    <w:basedOn w:val="a"/>
    <w:link w:val="ad"/>
    <w:uiPriority w:val="99"/>
    <w:semiHidden/>
    <w:qFormat/>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lang w:val="en-US"/>
    </w:rPr>
  </w:style>
  <w:style w:type="paragraph" w:styleId="ae">
    <w:name w:val="footnote text"/>
    <w:basedOn w:val="a"/>
    <w:link w:val="af"/>
    <w:semiHidden/>
    <w:qFormat/>
    <w:pPr>
      <w:widowControl w:val="0"/>
      <w:snapToGrid w:val="0"/>
    </w:pPr>
    <w:rPr>
      <w:rFonts w:ascii="Times New Roman" w:hAnsi="Times New Roman" w:cs="Times New Roman"/>
      <w:kern w:val="2"/>
      <w:sz w:val="18"/>
      <w:szCs w:val="18"/>
      <w:lang w:val="en-US"/>
    </w:rPr>
  </w:style>
  <w:style w:type="paragraph" w:styleId="af0">
    <w:name w:val="Normal (Web)"/>
    <w:basedOn w:val="a"/>
    <w:uiPriority w:val="99"/>
    <w:unhideWhenUsed/>
    <w:qFormat/>
    <w:pPr>
      <w:spacing w:before="100" w:beforeAutospacing="1" w:after="100" w:afterAutospacing="1"/>
    </w:pPr>
    <w:rPr>
      <w:rFonts w:ascii="Times New Roman" w:eastAsia="Times New Roman" w:hAnsi="Times New Roman" w:cs="Times New Roman"/>
      <w:lang w:val="en-SG"/>
    </w:rPr>
  </w:style>
  <w:style w:type="paragraph" w:styleId="af1">
    <w:name w:val="annotation subject"/>
    <w:basedOn w:val="a4"/>
    <w:next w:val="a4"/>
    <w:link w:val="af2"/>
    <w:uiPriority w:val="99"/>
    <w:semiHidden/>
    <w:unhideWhenUsed/>
    <w:qFormat/>
    <w:pPr>
      <w:widowControl/>
      <w:jc w:val="left"/>
    </w:pPr>
    <w:rPr>
      <w:rFonts w:asciiTheme="minorHAnsi" w:eastAsiaTheme="minorEastAsia" w:hAnsiTheme="minorHAnsi" w:cstheme="minorBidi"/>
      <w:b/>
      <w:bCs/>
      <w:kern w:val="0"/>
      <w:lang w:val="en-GB"/>
    </w:rPr>
  </w:style>
  <w:style w:type="table" w:styleId="af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0"/>
    <w:uiPriority w:val="22"/>
    <w:qFormat/>
    <w:rPr>
      <w:b/>
      <w:bCs/>
    </w:rPr>
  </w:style>
  <w:style w:type="character" w:styleId="af5">
    <w:name w:val="page number"/>
    <w:basedOn w:val="a0"/>
    <w:uiPriority w:val="99"/>
    <w:semiHidden/>
    <w:unhideWhenUsed/>
    <w:qFormat/>
  </w:style>
  <w:style w:type="character" w:styleId="af6">
    <w:name w:val="Hyperlink"/>
    <w:uiPriority w:val="99"/>
    <w:unhideWhenUsed/>
    <w:qFormat/>
    <w:rPr>
      <w:color w:val="0563C1"/>
      <w:u w:val="single"/>
    </w:rPr>
  </w:style>
  <w:style w:type="character" w:styleId="af7">
    <w:name w:val="annotation reference"/>
    <w:uiPriority w:val="99"/>
    <w:semiHidden/>
    <w:unhideWhenUsed/>
    <w:qFormat/>
    <w:rPr>
      <w:sz w:val="16"/>
      <w:szCs w:val="16"/>
    </w:rPr>
  </w:style>
  <w:style w:type="character" w:styleId="af8">
    <w:name w:val="footnote reference"/>
    <w:semiHidden/>
    <w:qFormat/>
    <w:rPr>
      <w:vertAlign w:val="superscript"/>
    </w:rPr>
  </w:style>
  <w:style w:type="character" w:customStyle="1" w:styleId="30">
    <w:name w:val="标题 3 字符"/>
    <w:basedOn w:val="a0"/>
    <w:link w:val="3"/>
    <w:qFormat/>
    <w:rPr>
      <w:rFonts w:ascii="Times New Roman" w:eastAsia="宋体" w:hAnsi="Times New Roman" w:cs="Times New Roman"/>
      <w:b/>
      <w:bCs/>
      <w:kern w:val="2"/>
      <w:sz w:val="18"/>
      <w:lang w:val="en-US"/>
    </w:rPr>
  </w:style>
  <w:style w:type="character" w:customStyle="1" w:styleId="af">
    <w:name w:val="脚注文本 字符"/>
    <w:basedOn w:val="a0"/>
    <w:link w:val="ae"/>
    <w:semiHidden/>
    <w:qFormat/>
    <w:rPr>
      <w:rFonts w:ascii="Times New Roman" w:eastAsia="宋体" w:hAnsi="Times New Roman" w:cs="Times New Roman"/>
      <w:kern w:val="2"/>
      <w:sz w:val="18"/>
      <w:szCs w:val="18"/>
      <w:lang w:val="en-US"/>
    </w:rPr>
  </w:style>
  <w:style w:type="character" w:customStyle="1" w:styleId="ad">
    <w:name w:val="页眉 字符"/>
    <w:basedOn w:val="a0"/>
    <w:link w:val="ac"/>
    <w:uiPriority w:val="99"/>
    <w:semiHidden/>
    <w:qFormat/>
    <w:rPr>
      <w:rFonts w:ascii="Times New Roman" w:eastAsia="宋体" w:hAnsi="Times New Roman" w:cs="Times New Roman"/>
      <w:kern w:val="2"/>
      <w:sz w:val="18"/>
      <w:szCs w:val="18"/>
      <w:lang w:val="en-US"/>
    </w:rPr>
  </w:style>
  <w:style w:type="character" w:customStyle="1" w:styleId="a7">
    <w:name w:val="正文文本 字符"/>
    <w:basedOn w:val="a0"/>
    <w:link w:val="a6"/>
    <w:semiHidden/>
    <w:qFormat/>
    <w:rPr>
      <w:rFonts w:ascii="Times New Roman" w:eastAsia="宋体" w:hAnsi="Times New Roman" w:cs="Times New Roman"/>
      <w:color w:val="FF0000"/>
      <w:kern w:val="2"/>
      <w:sz w:val="21"/>
      <w:lang w:val="en-US"/>
    </w:rPr>
  </w:style>
  <w:style w:type="paragraph" w:customStyle="1" w:styleId="af9">
    <w:name w:val="参考文献"/>
    <w:basedOn w:val="a"/>
    <w:qFormat/>
    <w:pPr>
      <w:widowControl w:val="0"/>
      <w:autoSpaceDE w:val="0"/>
      <w:autoSpaceDN w:val="0"/>
      <w:adjustRightInd w:val="0"/>
      <w:snapToGrid w:val="0"/>
      <w:spacing w:line="300" w:lineRule="auto"/>
      <w:textAlignment w:val="bottom"/>
    </w:pPr>
    <w:rPr>
      <w:rFonts w:ascii="Times New Roman" w:hAnsi="Times New Roman" w:cs="Times New Roman"/>
      <w:kern w:val="2"/>
      <w:sz w:val="15"/>
      <w:szCs w:val="15"/>
      <w:lang w:val="en-US"/>
    </w:rPr>
  </w:style>
  <w:style w:type="paragraph" w:styleId="afa">
    <w:name w:val="List Paragraph"/>
    <w:basedOn w:val="a"/>
    <w:uiPriority w:val="34"/>
    <w:qFormat/>
    <w:pPr>
      <w:widowControl w:val="0"/>
      <w:spacing w:line="300" w:lineRule="auto"/>
      <w:ind w:firstLine="200"/>
      <w:jc w:val="both"/>
    </w:pPr>
    <w:rPr>
      <w:rFonts w:ascii="Calibri" w:hAnsi="Calibri" w:cs="Times New Roman"/>
      <w:kern w:val="2"/>
      <w:sz w:val="21"/>
      <w:szCs w:val="22"/>
      <w:lang w:val="en-US"/>
    </w:rPr>
  </w:style>
  <w:style w:type="character" w:customStyle="1" w:styleId="a5">
    <w:name w:val="批注文字 字符"/>
    <w:basedOn w:val="a0"/>
    <w:link w:val="a4"/>
    <w:uiPriority w:val="99"/>
    <w:qFormat/>
    <w:rPr>
      <w:rFonts w:ascii="Times New Roman" w:eastAsia="宋体" w:hAnsi="Times New Roman" w:cs="Times New Roman"/>
      <w:kern w:val="2"/>
      <w:sz w:val="20"/>
      <w:szCs w:val="20"/>
      <w:lang w:val="en-US"/>
    </w:rPr>
  </w:style>
  <w:style w:type="character" w:customStyle="1" w:styleId="a9">
    <w:name w:val="批注框文本 字符"/>
    <w:basedOn w:val="a0"/>
    <w:link w:val="a8"/>
    <w:uiPriority w:val="99"/>
    <w:semiHidden/>
    <w:qFormat/>
    <w:rPr>
      <w:rFonts w:ascii="Times New Roman" w:hAnsi="Times New Roman" w:cs="Times New Roman"/>
      <w:sz w:val="18"/>
      <w:szCs w:val="18"/>
    </w:r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32"/>
      <w:szCs w:val="32"/>
    </w:rPr>
  </w:style>
  <w:style w:type="character" w:customStyle="1" w:styleId="af2">
    <w:name w:val="批注主题 字符"/>
    <w:basedOn w:val="a5"/>
    <w:link w:val="af1"/>
    <w:uiPriority w:val="99"/>
    <w:semiHidden/>
    <w:qFormat/>
    <w:rPr>
      <w:rFonts w:ascii="Times New Roman" w:eastAsia="宋体" w:hAnsi="Times New Roman" w:cs="Times New Roman"/>
      <w:b/>
      <w:bCs/>
      <w:kern w:val="2"/>
      <w:sz w:val="20"/>
      <w:szCs w:val="20"/>
      <w:lang w:val="en-US"/>
    </w:rPr>
  </w:style>
  <w:style w:type="character" w:customStyle="1" w:styleId="11">
    <w:name w:val="未处理的提及1"/>
    <w:basedOn w:val="a0"/>
    <w:uiPriority w:val="99"/>
    <w:qFormat/>
    <w:rPr>
      <w:color w:val="605E5C"/>
      <w:shd w:val="clear" w:color="auto" w:fill="E1DFDD"/>
    </w:rPr>
  </w:style>
  <w:style w:type="paragraph" w:customStyle="1" w:styleId="title-1">
    <w:name w:val="title-1"/>
    <w:basedOn w:val="a"/>
    <w:qFormat/>
    <w:pPr>
      <w:spacing w:before="100" w:beforeAutospacing="1" w:after="100" w:afterAutospacing="1"/>
    </w:pPr>
    <w:rPr>
      <w:rFonts w:ascii="Times New Roman" w:eastAsia="Times New Roman" w:hAnsi="Times New Roman" w:cs="Times New Roman"/>
      <w:lang w:val="en-US" w:eastAsia="en-US"/>
    </w:rPr>
  </w:style>
  <w:style w:type="character" w:customStyle="1" w:styleId="ab">
    <w:name w:val="页脚 字符"/>
    <w:basedOn w:val="a0"/>
    <w:link w:val="aa"/>
    <w:uiPriority w:val="99"/>
    <w:qFormat/>
    <w:rPr>
      <w:rFonts w:ascii="宋体" w:eastAsia="宋体" w:hAnsi="宋体"/>
    </w:rPr>
  </w:style>
  <w:style w:type="character" w:styleId="afb">
    <w:name w:val="Placeholder Text"/>
    <w:basedOn w:val="a0"/>
    <w:uiPriority w:val="99"/>
    <w:semiHidden/>
    <w:qFormat/>
    <w:rPr>
      <w:color w:val="808080"/>
    </w:rPr>
  </w:style>
  <w:style w:type="character" w:styleId="afc">
    <w:name w:val="Unresolved Mention"/>
    <w:basedOn w:val="a0"/>
    <w:uiPriority w:val="99"/>
    <w:semiHidden/>
    <w:unhideWhenUsed/>
    <w:rsid w:val="009425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022157">
      <w:bodyDiv w:val="1"/>
      <w:marLeft w:val="0"/>
      <w:marRight w:val="0"/>
      <w:marTop w:val="0"/>
      <w:marBottom w:val="0"/>
      <w:divBdr>
        <w:top w:val="none" w:sz="0" w:space="0" w:color="auto"/>
        <w:left w:val="none" w:sz="0" w:space="0" w:color="auto"/>
        <w:bottom w:val="none" w:sz="0" w:space="0" w:color="auto"/>
        <w:right w:val="none" w:sz="0" w:space="0" w:color="auto"/>
      </w:divBdr>
      <w:divsChild>
        <w:div w:id="507252285">
          <w:marLeft w:val="0"/>
          <w:marRight w:val="0"/>
          <w:marTop w:val="0"/>
          <w:marBottom w:val="0"/>
          <w:divBdr>
            <w:top w:val="none" w:sz="0" w:space="0" w:color="auto"/>
            <w:left w:val="none" w:sz="0" w:space="0" w:color="auto"/>
            <w:bottom w:val="none" w:sz="0" w:space="0" w:color="auto"/>
            <w:right w:val="none" w:sz="0" w:space="0" w:color="auto"/>
          </w:divBdr>
          <w:divsChild>
            <w:div w:id="1632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3990">
      <w:bodyDiv w:val="1"/>
      <w:marLeft w:val="0"/>
      <w:marRight w:val="0"/>
      <w:marTop w:val="0"/>
      <w:marBottom w:val="0"/>
      <w:divBdr>
        <w:top w:val="none" w:sz="0" w:space="0" w:color="auto"/>
        <w:left w:val="none" w:sz="0" w:space="0" w:color="auto"/>
        <w:bottom w:val="none" w:sz="0" w:space="0" w:color="auto"/>
        <w:right w:val="none" w:sz="0" w:space="0" w:color="auto"/>
      </w:divBdr>
      <w:divsChild>
        <w:div w:id="240410272">
          <w:marLeft w:val="0"/>
          <w:marRight w:val="0"/>
          <w:marTop w:val="0"/>
          <w:marBottom w:val="0"/>
          <w:divBdr>
            <w:top w:val="none" w:sz="0" w:space="0" w:color="auto"/>
            <w:left w:val="none" w:sz="0" w:space="0" w:color="auto"/>
            <w:bottom w:val="none" w:sz="0" w:space="0" w:color="auto"/>
            <w:right w:val="none" w:sz="0" w:space="0" w:color="auto"/>
          </w:divBdr>
          <w:divsChild>
            <w:div w:id="2217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57577">
      <w:bodyDiv w:val="1"/>
      <w:marLeft w:val="0"/>
      <w:marRight w:val="0"/>
      <w:marTop w:val="0"/>
      <w:marBottom w:val="0"/>
      <w:divBdr>
        <w:top w:val="none" w:sz="0" w:space="0" w:color="auto"/>
        <w:left w:val="none" w:sz="0" w:space="0" w:color="auto"/>
        <w:bottom w:val="none" w:sz="0" w:space="0" w:color="auto"/>
        <w:right w:val="none" w:sz="0" w:space="0" w:color="auto"/>
      </w:divBdr>
      <w:divsChild>
        <w:div w:id="1570920886">
          <w:marLeft w:val="0"/>
          <w:marRight w:val="0"/>
          <w:marTop w:val="0"/>
          <w:marBottom w:val="0"/>
          <w:divBdr>
            <w:top w:val="none" w:sz="0" w:space="0" w:color="auto"/>
            <w:left w:val="none" w:sz="0" w:space="0" w:color="auto"/>
            <w:bottom w:val="none" w:sz="0" w:space="0" w:color="auto"/>
            <w:right w:val="none" w:sz="0" w:space="0" w:color="auto"/>
          </w:divBdr>
          <w:divsChild>
            <w:div w:id="143085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5390">
      <w:bodyDiv w:val="1"/>
      <w:marLeft w:val="0"/>
      <w:marRight w:val="0"/>
      <w:marTop w:val="0"/>
      <w:marBottom w:val="0"/>
      <w:divBdr>
        <w:top w:val="none" w:sz="0" w:space="0" w:color="auto"/>
        <w:left w:val="none" w:sz="0" w:space="0" w:color="auto"/>
        <w:bottom w:val="none" w:sz="0" w:space="0" w:color="auto"/>
        <w:right w:val="none" w:sz="0" w:space="0" w:color="auto"/>
      </w:divBdr>
      <w:divsChild>
        <w:div w:id="1926374772">
          <w:marLeft w:val="0"/>
          <w:marRight w:val="0"/>
          <w:marTop w:val="0"/>
          <w:marBottom w:val="0"/>
          <w:divBdr>
            <w:top w:val="none" w:sz="0" w:space="0" w:color="auto"/>
            <w:left w:val="none" w:sz="0" w:space="0" w:color="auto"/>
            <w:bottom w:val="none" w:sz="0" w:space="0" w:color="auto"/>
            <w:right w:val="none" w:sz="0" w:space="0" w:color="auto"/>
          </w:divBdr>
          <w:divsChild>
            <w:div w:id="9963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docs.cn/l/cseU1yF4PiQ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26032;&#24314;%20Microsoft%20Excel%20&#24037;&#20316;&#34920;%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Sheet1!$C$1</c:f>
              <c:strCache>
                <c:ptCount val="1"/>
                <c:pt idx="0">
                  <c:v>energy</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Sheet1!$B$2:$B$5</c:f>
              <c:strCache>
                <c:ptCount val="4"/>
                <c:pt idx="0">
                  <c:v>Co3Pt_mp-1226436</c:v>
                </c:pt>
                <c:pt idx="1">
                  <c:v>CoPt_mp-949</c:v>
                </c:pt>
                <c:pt idx="2">
                  <c:v>CoPt_mp-1225998</c:v>
                </c:pt>
                <c:pt idx="3">
                  <c:v>CoPt3_mp-922</c:v>
                </c:pt>
              </c:strCache>
            </c:strRef>
          </c:cat>
          <c:val>
            <c:numRef>
              <c:f>Sheet1!$C$2:$C$5</c:f>
              <c:numCache>
                <c:formatCode>General</c:formatCode>
                <c:ptCount val="4"/>
                <c:pt idx="0">
                  <c:v>-0.246772766113281</c:v>
                </c:pt>
                <c:pt idx="1">
                  <c:v>-0.24456423521041801</c:v>
                </c:pt>
                <c:pt idx="2">
                  <c:v>-0.22820121049880901</c:v>
                </c:pt>
                <c:pt idx="3">
                  <c:v>-0.11860090494155801</c:v>
                </c:pt>
              </c:numCache>
            </c:numRef>
          </c:val>
          <c:extLst>
            <c:ext xmlns:c16="http://schemas.microsoft.com/office/drawing/2014/chart" uri="{C3380CC4-5D6E-409C-BE32-E72D297353CC}">
              <c16:uniqueId val="{00000000-1B2C-4882-A3DA-DD9AC19BE21B}"/>
            </c:ext>
          </c:extLst>
        </c:ser>
        <c:dLbls>
          <c:showLegendKey val="0"/>
          <c:showVal val="1"/>
          <c:showCatName val="0"/>
          <c:showSerName val="0"/>
          <c:showPercent val="0"/>
          <c:showBubbleSize val="0"/>
        </c:dLbls>
        <c:gapWidth val="100"/>
        <c:overlap val="-24"/>
        <c:axId val="834778559"/>
        <c:axId val="834778079"/>
      </c:barChart>
      <c:catAx>
        <c:axId val="834778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834778079"/>
        <c:crosses val="autoZero"/>
        <c:auto val="1"/>
        <c:lblAlgn val="ctr"/>
        <c:lblOffset val="100"/>
        <c:noMultiLvlLbl val="0"/>
      </c:catAx>
      <c:valAx>
        <c:axId val="834778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8347785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496CF-C732-3F48-9348-342BB2564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2085</Words>
  <Characters>11887</Characters>
  <Application>Microsoft Office Word</Application>
  <DocSecurity>0</DocSecurity>
  <Lines>99</Lines>
  <Paragraphs>27</Paragraphs>
  <ScaleCrop>false</ScaleCrop>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Xiaonan</dc:creator>
  <cp:lastModifiedBy>呈睿 许</cp:lastModifiedBy>
  <cp:revision>2</cp:revision>
  <cp:lastPrinted>2021-08-30T03:18:00Z</cp:lastPrinted>
  <dcterms:created xsi:type="dcterms:W3CDTF">2024-09-09T03:40:00Z</dcterms:created>
  <dcterms:modified xsi:type="dcterms:W3CDTF">2024-09-09T03:40:00Z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http://www.zotero.org/styles/applied-energy</vt:lpwstr>
  </property>
  <property fmtid="{D5CDD505-2E9C-101B-9397-08002B2CF9AE}" pid="4" name="Mendeley Unique User Id_1">
    <vt:lpwstr>d08be49f-22c5-3a04-8506-25b94378b350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http://www.zotero.org/styles/applied-energy</vt:lpwstr>
  </property>
  <property fmtid="{D5CDD505-2E9C-101B-9397-08002B2CF9AE}" pid="12" name="Mendeley Recent Style Name 3_1">
    <vt:lpwstr>Applied Energy</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http://www.zotero.org/styles/computers-and-chemical-engineering</vt:lpwstr>
  </property>
  <property fmtid="{D5CDD505-2E9C-101B-9397-08002B2CF9AE}" pid="16" name="Mendeley Recent Style Name 5_1">
    <vt:lpwstr>Computers and Chemical Engineering</vt:lpwstr>
  </property>
  <property fmtid="{D5CDD505-2E9C-101B-9397-08002B2CF9AE}" pid="17" name="Mendeley Recent Style Id 6_1">
    <vt:lpwstr>http://www.zotero.org/styles/current-opinion-in-chemical-engineering</vt:lpwstr>
  </property>
  <property fmtid="{D5CDD505-2E9C-101B-9397-08002B2CF9AE}" pid="18" name="Mendeley Recent Style Name 6_1">
    <vt:lpwstr>Current Opinion in Chemical Engineering</vt:lpwstr>
  </property>
  <property fmtid="{D5CDD505-2E9C-101B-9397-08002B2CF9AE}" pid="19" name="Mendeley Recent Style Id 7_1">
    <vt:lpwstr>http://www.zotero.org/styles/journal-of-cleaner-production</vt:lpwstr>
  </property>
  <property fmtid="{D5CDD505-2E9C-101B-9397-08002B2CF9AE}" pid="20" name="Mendeley Recent Style Name 7_1">
    <vt:lpwstr>Journal of Cleaner Production</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2052-12.1.0.17827</vt:lpwstr>
  </property>
  <property fmtid="{D5CDD505-2E9C-101B-9397-08002B2CF9AE}" pid="26" name="ICV">
    <vt:lpwstr>5636F9F3F22D42A49B3185A068FDA518_13</vt:lpwstr>
  </property>
</Properties>
</file>