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pPr>
      <w:r>
        <w:t xml:space="preserve">CBSE Class 12 Physics — Important Derivations</w:t>
      </w:r>
    </w:p>
    <w:p>
      <w:pPr>
        <w:spacing w:after="200"/>
      </w:pPr>
      <w:r>
        <w:t xml:space="preserve">A chapter-wise checklist of the derivations most likely to appear in the CBSE Class 12 Physics board exam — the ones that repeat, year after year, as 2-mark, 3-mark, or 5-mark questions. This is a </w:t>
      </w:r>
      <w:r>
        <w:rPr>
          <w:b/>
          <w:bCs/>
        </w:rPr>
        <w:t xml:space="preserve">list to work through</w:t>
      </w:r>
      <w:r>
        <w:t xml:space="preserve">, not the derivations themselves — the idea is to use it as a revision tracker: can you reproduce each one on paper, from the starting principle, without looking it up?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EEF2F7" w:val="clear"/>
            <w:tcMar>
              <w:top w:type="dxa" w:w="160"/>
              <w:left w:type="dxa" w:w="180"/>
              <w:bottom w:type="dxa" w:w="160"/>
              <w:right w:type="dxa" w:w="180"/>
            </w:tcMar>
          </w:tcPr>
          <w:p>
            <w:r>
              <w:rPr>
                <w:b/>
                <w:bCs/>
              </w:rPr>
              <w:t xml:space="preserve">Note on currency: </w:t>
            </w:r>
            <w:r>
              <w:t xml:space="preserve">CBSE revises (rationalises) the Physics syllabus most years, and has dropped several derivations in recent cycles — Cyclotron, Velocity Selector, the Toroid, the magnetic dipole moment of a revolving electron, Earth's Magnetism, Eddy Currents, and Brewster's Law are </w:t>
            </w:r>
            <w:r>
              <w:rPr>
                <w:b/>
                <w:bCs/>
              </w:rPr>
              <w:t xml:space="preserve">not</w:t>
            </w:r>
            <w:r>
              <w:t xml:space="preserve"> in this list because they were removed from the syllabus in past rationalisations. This version has also been cross-checked against the current official syllabus wording for which topics are explicitly marked "no derivation, formula only" or "qualitative treatment only" — those are called out separately below rather than listed as derivations. Still, cross-check against the current year's official CBSE curriculum (cbseacademic.nic.in) before finalising a revision plan, since the exact wording can shift year to year.</w:t>
            </w:r>
          </w:p>
        </w:tc>
      </w:tr>
    </w:tbl>
    <w:p>
      <w:pPr>
        <w:spacing w:after="160"/>
      </w:pPr>
    </w:p>
    <w:p>
      <w:pPr>
        <w:spacing w:after="200"/>
      </w:pPr>
      <w:r>
        <w:t xml:space="preserve">Frequency key: ★★★ = asked almost every year, in some form · ★★ = asked frequently · ★ = asked occasionally, still worth knowing.</w:t>
      </w:r>
    </w:p>
    <w:p>
      <w:pPr>
        <w:pBdr>
          <w:bottom w:val="single" w:color="AAAAAA" w:sz="6" w:space="8"/>
        </w:pBdr>
        <w:spacing w:after="200"/>
      </w:pPr>
      <w:r>
        <w:t xml:space="preserve">Status tags used below: a plain table row is a full derivation you should be able to reproduce. </w:t>
      </w:r>
      <w:r>
        <w:rPr>
          <w:b/>
          <w:bCs/>
        </w:rPr>
        <w:t xml:space="preserve">Formula only</w:t>
      </w:r>
      <w:r>
        <w:t xml:space="preserve"> means the syllabus explicitly says no derivation is required — know and apply the formula, don't derive it. </w:t>
      </w:r>
      <w:r>
        <w:rPr>
          <w:b/>
          <w:bCs/>
        </w:rPr>
        <w:t xml:space="preserve">Qualitative only</w:t>
      </w:r>
      <w:r>
        <w:t xml:space="preserve"> means no maths is expected at all — understand the idea and be able to explain it in words/diagram.</w:t>
      </w:r>
    </w:p>
    <w:p>
      <w:pPr>
        <w:pStyle w:val="Heading2"/>
        <w:spacing w:after="160" w:before="360"/>
      </w:pPr>
      <w:r>
        <w:t xml:space="preserve">Unit 1 — Electrostatics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400"/>
        <w:gridCol w:w="1400"/>
        <w:gridCol w:w="2226"/>
      </w:tblGrid>
      <w:tr>
        <w:trPr>
          <w:tblHeader/>
        </w:trPr>
        <w:tc>
          <w:tcPr>
            <w:tcW w:type="dxa" w:w="5400"/>
            <w:shd w:fill="DDE3EC" w:val="clear"/>
            <w:tcMar>
              <w:top w:type="dxa" w:w="100"/>
              <w:left w:type="dxa" w:w="120"/>
              <w:bottom w:type="dxa" w:w="100"/>
              <w:right w:type="dxa" w:w="120"/>
            </w:tcMar>
            <w:vAlign w:val="center"/>
          </w:tcPr>
          <w:p>
            <w:r>
              <w:rPr>
                <w:b/>
                <w:bCs/>
              </w:rPr>
              <w:t xml:space="preserve">Derivation</w:t>
            </w:r>
          </w:p>
        </w:tc>
        <w:tc>
          <w:tcPr>
            <w:tcW w:type="dxa" w:w="1400"/>
            <w:shd w:fill="DDE3EC" w:val="clear"/>
            <w:tcMar>
              <w:top w:type="dxa" w:w="100"/>
              <w:left w:type="dxa" w:w="120"/>
              <w:bottom w:type="dxa" w:w="100"/>
              <w:right w:type="dxa" w:w="120"/>
            </w:tcMar>
            <w:vAlign w:val="center"/>
          </w:tcPr>
          <w:p>
            <w:r>
              <w:rPr>
                <w:b/>
                <w:bCs/>
              </w:rPr>
              <w:t xml:space="preserve">Typical marks</w:t>
            </w:r>
          </w:p>
        </w:tc>
        <w:tc>
          <w:tcPr>
            <w:tcW w:type="dxa" w:w="2226"/>
            <w:shd w:fill="DDE3EC" w:val="clear"/>
            <w:tcMar>
              <w:top w:type="dxa" w:w="100"/>
              <w:left w:type="dxa" w:w="120"/>
              <w:bottom w:type="dxa" w:w="100"/>
              <w:right w:type="dxa" w:w="120"/>
            </w:tcMar>
            <w:vAlign w:val="center"/>
          </w:tcPr>
          <w:p>
            <w:r>
              <w:rPr>
                <w:b/>
                <w:bCs/>
              </w:rPr>
              <w:t xml:space="preserve">Frequency</w:t>
            </w:r>
          </w:p>
        </w:tc>
      </w:tr>
      <w:tr>
        <w:tc>
          <w:tcPr>
            <w:tcW w:type="dxa" w:w="5400"/>
            <w:tcMar>
              <w:top w:type="dxa" w:w="100"/>
              <w:left w:type="dxa" w:w="120"/>
              <w:bottom w:type="dxa" w:w="100"/>
              <w:right w:type="dxa" w:w="120"/>
            </w:tcMar>
            <w:vAlign w:val="center"/>
          </w:tcPr>
          <w:p>
            <w:r>
              <w:t xml:space="preserve">Electric field due to a point charge (from Coulomb's law)</w:t>
            </w:r>
          </w:p>
        </w:tc>
        <w:tc>
          <w:tcPr>
            <w:tcW w:type="dxa" w:w="1400"/>
            <w:tcMar>
              <w:top w:type="dxa" w:w="100"/>
              <w:left w:type="dxa" w:w="120"/>
              <w:bottom w:type="dxa" w:w="100"/>
              <w:right w:type="dxa" w:w="120"/>
            </w:tcMar>
            <w:vAlign w:val="center"/>
          </w:tcPr>
          <w:p>
            <w:r>
              <w:t xml:space="preserve">2</w:t>
            </w:r>
          </w:p>
        </w:tc>
        <w:tc>
          <w:tcPr>
            <w:tcW w:type="dxa" w:w="2226"/>
            <w:tcMar>
              <w:top w:type="dxa" w:w="100"/>
              <w:left w:type="dxa" w:w="120"/>
              <w:bottom w:type="dxa" w:w="100"/>
              <w:right w:type="dxa" w:w="120"/>
            </w:tcMar>
            <w:vAlign w:val="center"/>
          </w:tcPr>
          <w:p>
            <w:r>
              <w:t xml:space="preserve">★★</w:t>
            </w:r>
          </w:p>
        </w:tc>
      </w:tr>
      <w:tr>
        <w:tc>
          <w:tcPr>
            <w:tcW w:type="dxa" w:w="5400"/>
            <w:tcMar>
              <w:top w:type="dxa" w:w="100"/>
              <w:left w:type="dxa" w:w="120"/>
              <w:bottom w:type="dxa" w:w="100"/>
              <w:right w:type="dxa" w:w="120"/>
            </w:tcMar>
            <w:vAlign w:val="center"/>
          </w:tcPr>
          <w:p>
            <w:r>
              <w:t xml:space="preserve">Electric field on the </w:t>
            </w:r>
            <w:r>
              <w:rPr>
                <w:b/>
                <w:bCs/>
              </w:rPr>
              <w:t xml:space="preserve">axial line</w:t>
            </w:r>
            <w:r>
              <w:t xml:space="preserve"> of an electric dipole</w:t>
            </w:r>
          </w:p>
        </w:tc>
        <w:tc>
          <w:tcPr>
            <w:tcW w:type="dxa" w:w="1400"/>
            <w:tcMar>
              <w:top w:type="dxa" w:w="100"/>
              <w:left w:type="dxa" w:w="120"/>
              <w:bottom w:type="dxa" w:w="100"/>
              <w:right w:type="dxa" w:w="120"/>
            </w:tcMar>
            <w:vAlign w:val="center"/>
          </w:tcPr>
          <w:p>
            <w:r>
              <w:t xml:space="preserve">3</w:t>
            </w:r>
          </w:p>
        </w:tc>
        <w:tc>
          <w:tcPr>
            <w:tcW w:type="dxa" w:w="2226"/>
            <w:tcMar>
              <w:top w:type="dxa" w:w="100"/>
              <w:left w:type="dxa" w:w="120"/>
              <w:bottom w:type="dxa" w:w="100"/>
              <w:right w:type="dxa" w:w="120"/>
            </w:tcMar>
            <w:vAlign w:val="center"/>
          </w:tcPr>
          <w:p>
            <w:r>
              <w:t xml:space="preserve">★★★</w:t>
            </w:r>
          </w:p>
        </w:tc>
      </w:tr>
      <w:tr>
        <w:tc>
          <w:tcPr>
            <w:tcW w:type="dxa" w:w="5400"/>
            <w:tcMar>
              <w:top w:type="dxa" w:w="100"/>
              <w:left w:type="dxa" w:w="120"/>
              <w:bottom w:type="dxa" w:w="100"/>
              <w:right w:type="dxa" w:w="120"/>
            </w:tcMar>
            <w:vAlign w:val="center"/>
          </w:tcPr>
          <w:p>
            <w:r>
              <w:t xml:space="preserve">Electric field on the </w:t>
            </w:r>
            <w:r>
              <w:rPr>
                <w:b/>
                <w:bCs/>
              </w:rPr>
              <w:t xml:space="preserve">equatorial line</w:t>
            </w:r>
            <w:r>
              <w:t xml:space="preserve"> of an electric dipole</w:t>
            </w:r>
          </w:p>
        </w:tc>
        <w:tc>
          <w:tcPr>
            <w:tcW w:type="dxa" w:w="1400"/>
            <w:tcMar>
              <w:top w:type="dxa" w:w="100"/>
              <w:left w:type="dxa" w:w="120"/>
              <w:bottom w:type="dxa" w:w="100"/>
              <w:right w:type="dxa" w:w="120"/>
            </w:tcMar>
            <w:vAlign w:val="center"/>
          </w:tcPr>
          <w:p>
            <w:r>
              <w:t xml:space="preserve">3</w:t>
            </w:r>
          </w:p>
        </w:tc>
        <w:tc>
          <w:tcPr>
            <w:tcW w:type="dxa" w:w="2226"/>
            <w:tcMar>
              <w:top w:type="dxa" w:w="100"/>
              <w:left w:type="dxa" w:w="120"/>
              <w:bottom w:type="dxa" w:w="100"/>
              <w:right w:type="dxa" w:w="120"/>
            </w:tcMar>
            <w:vAlign w:val="center"/>
          </w:tcPr>
          <w:p>
            <w:r>
              <w:t xml:space="preserve">★★★</w:t>
            </w:r>
          </w:p>
        </w:tc>
      </w:tr>
      <w:tr>
        <w:tc>
          <w:tcPr>
            <w:tcW w:type="dxa" w:w="5400"/>
            <w:tcMar>
              <w:top w:type="dxa" w:w="100"/>
              <w:left w:type="dxa" w:w="120"/>
              <w:bottom w:type="dxa" w:w="100"/>
              <w:right w:type="dxa" w:w="120"/>
            </w:tcMar>
            <w:vAlign w:val="center"/>
          </w:tcPr>
          <w:p>
            <w:r>
              <w:t xml:space="preserve">Torque on an electric dipole in a uniform external electric field</w:t>
            </w:r>
          </w:p>
        </w:tc>
        <w:tc>
          <w:tcPr>
            <w:tcW w:type="dxa" w:w="1400"/>
            <w:tcMar>
              <w:top w:type="dxa" w:w="100"/>
              <w:left w:type="dxa" w:w="120"/>
              <w:bottom w:type="dxa" w:w="100"/>
              <w:right w:type="dxa" w:w="120"/>
            </w:tcMar>
            <w:vAlign w:val="center"/>
          </w:tcPr>
          <w:p>
            <w:r>
              <w:t xml:space="preserve">2–3</w:t>
            </w:r>
          </w:p>
        </w:tc>
        <w:tc>
          <w:tcPr>
            <w:tcW w:type="dxa" w:w="2226"/>
            <w:tcMar>
              <w:top w:type="dxa" w:w="100"/>
              <w:left w:type="dxa" w:w="120"/>
              <w:bottom w:type="dxa" w:w="100"/>
              <w:right w:type="dxa" w:w="120"/>
            </w:tcMar>
            <w:vAlign w:val="center"/>
          </w:tcPr>
          <w:p>
            <w:r>
              <w:t xml:space="preserve">★★★</w:t>
            </w:r>
          </w:p>
        </w:tc>
      </w:tr>
      <w:tr>
        <w:tc>
          <w:tcPr>
            <w:tcW w:type="dxa" w:w="5400"/>
            <w:tcMar>
              <w:top w:type="dxa" w:w="100"/>
              <w:left w:type="dxa" w:w="120"/>
              <w:bottom w:type="dxa" w:w="100"/>
              <w:right w:type="dxa" w:w="120"/>
            </w:tcMar>
            <w:vAlign w:val="center"/>
          </w:tcPr>
          <w:p>
            <w:r>
              <w:t xml:space="preserve">Electric field due to an </w:t>
            </w:r>
            <w:r>
              <w:rPr>
                <w:b/>
                <w:bCs/>
              </w:rPr>
              <w:t xml:space="preserve">infinite plane sheet of charge</w:t>
            </w:r>
            <w:r>
              <w:t xml:space="preserve"> (Gauss's law)</w:t>
            </w:r>
          </w:p>
        </w:tc>
        <w:tc>
          <w:tcPr>
            <w:tcW w:type="dxa" w:w="1400"/>
            <w:tcMar>
              <w:top w:type="dxa" w:w="100"/>
              <w:left w:type="dxa" w:w="120"/>
              <w:bottom w:type="dxa" w:w="100"/>
              <w:right w:type="dxa" w:w="120"/>
            </w:tcMar>
            <w:vAlign w:val="center"/>
          </w:tcPr>
          <w:p>
            <w:r>
              <w:t xml:space="preserve">3</w:t>
            </w:r>
          </w:p>
        </w:tc>
        <w:tc>
          <w:tcPr>
            <w:tcW w:type="dxa" w:w="2226"/>
            <w:tcMar>
              <w:top w:type="dxa" w:w="100"/>
              <w:left w:type="dxa" w:w="120"/>
              <w:bottom w:type="dxa" w:w="100"/>
              <w:right w:type="dxa" w:w="120"/>
            </w:tcMar>
            <w:vAlign w:val="center"/>
          </w:tcPr>
          <w:p>
            <w:r>
              <w:t xml:space="preserve">★★★</w:t>
            </w:r>
          </w:p>
        </w:tc>
      </w:tr>
      <w:tr>
        <w:tc>
          <w:tcPr>
            <w:tcW w:type="dxa" w:w="5400"/>
            <w:tcMar>
              <w:top w:type="dxa" w:w="100"/>
              <w:left w:type="dxa" w:w="120"/>
              <w:bottom w:type="dxa" w:w="100"/>
              <w:right w:type="dxa" w:w="120"/>
            </w:tcMar>
            <w:vAlign w:val="center"/>
          </w:tcPr>
          <w:p>
            <w:r>
              <w:t xml:space="preserve">Electric field due to a </w:t>
            </w:r>
            <w:r>
              <w:rPr>
                <w:b/>
                <w:bCs/>
              </w:rPr>
              <w:t xml:space="preserve">uniformly charged thin spherical shell</w:t>
            </w:r>
            <w:r>
              <w:t xml:space="preserve"> — inside, on, and outside the surface (Gauss's law)</w:t>
            </w:r>
          </w:p>
        </w:tc>
        <w:tc>
          <w:tcPr>
            <w:tcW w:type="dxa" w:w="1400"/>
            <w:tcMar>
              <w:top w:type="dxa" w:w="100"/>
              <w:left w:type="dxa" w:w="120"/>
              <w:bottom w:type="dxa" w:w="100"/>
              <w:right w:type="dxa" w:w="120"/>
            </w:tcMar>
            <w:vAlign w:val="center"/>
          </w:tcPr>
          <w:p>
            <w:r>
              <w:t xml:space="preserve">3–5</w:t>
            </w:r>
          </w:p>
        </w:tc>
        <w:tc>
          <w:tcPr>
            <w:tcW w:type="dxa" w:w="2226"/>
            <w:tcMar>
              <w:top w:type="dxa" w:w="100"/>
              <w:left w:type="dxa" w:w="120"/>
              <w:bottom w:type="dxa" w:w="100"/>
              <w:right w:type="dxa" w:w="120"/>
            </w:tcMar>
            <w:vAlign w:val="center"/>
          </w:tcPr>
          <w:p>
            <w:r>
              <w:t xml:space="preserve">★★★</w:t>
            </w:r>
          </w:p>
        </w:tc>
      </w:tr>
      <w:tr>
        <w:tc>
          <w:tcPr>
            <w:tcW w:type="dxa" w:w="5400"/>
            <w:tcMar>
              <w:top w:type="dxa" w:w="100"/>
              <w:left w:type="dxa" w:w="120"/>
              <w:bottom w:type="dxa" w:w="100"/>
              <w:right w:type="dxa" w:w="120"/>
            </w:tcMar>
            <w:vAlign w:val="center"/>
          </w:tcPr>
          <w:p>
            <w:r>
              <w:t xml:space="preserve">Electric field due to an </w:t>
            </w:r>
            <w:r>
              <w:rPr>
                <w:b/>
                <w:bCs/>
              </w:rPr>
              <w:t xml:space="preserve">infinitely long straight charged wire</w:t>
            </w:r>
            <w:r>
              <w:t xml:space="preserve"> (Gauss's law)</w:t>
            </w:r>
          </w:p>
        </w:tc>
        <w:tc>
          <w:tcPr>
            <w:tcW w:type="dxa" w:w="1400"/>
            <w:tcMar>
              <w:top w:type="dxa" w:w="100"/>
              <w:left w:type="dxa" w:w="120"/>
              <w:bottom w:type="dxa" w:w="100"/>
              <w:right w:type="dxa" w:w="120"/>
            </w:tcMar>
            <w:vAlign w:val="center"/>
          </w:tcPr>
          <w:p>
            <w:r>
              <w:t xml:space="preserve">3</w:t>
            </w:r>
          </w:p>
        </w:tc>
        <w:tc>
          <w:tcPr>
            <w:tcW w:type="dxa" w:w="2226"/>
            <w:tcMar>
              <w:top w:type="dxa" w:w="100"/>
              <w:left w:type="dxa" w:w="120"/>
              <w:bottom w:type="dxa" w:w="100"/>
              <w:right w:type="dxa" w:w="120"/>
            </w:tcMar>
            <w:vAlign w:val="center"/>
          </w:tcPr>
          <w:p>
            <w:r>
              <w:t xml:space="preserve">★★</w:t>
            </w:r>
          </w:p>
        </w:tc>
      </w:tr>
      <w:tr>
        <w:tc>
          <w:tcPr>
            <w:tcW w:type="dxa" w:w="5400"/>
            <w:tcMar>
              <w:top w:type="dxa" w:w="100"/>
              <w:left w:type="dxa" w:w="120"/>
              <w:bottom w:type="dxa" w:w="100"/>
              <w:right w:type="dxa" w:w="120"/>
            </w:tcMar>
            <w:vAlign w:val="center"/>
          </w:tcPr>
          <w:p>
            <w:r>
              <w:t xml:space="preserve">Electric potential due to a point charge</w:t>
            </w:r>
          </w:p>
        </w:tc>
        <w:tc>
          <w:tcPr>
            <w:tcW w:type="dxa" w:w="1400"/>
            <w:tcMar>
              <w:top w:type="dxa" w:w="100"/>
              <w:left w:type="dxa" w:w="120"/>
              <w:bottom w:type="dxa" w:w="100"/>
              <w:right w:type="dxa" w:w="120"/>
            </w:tcMar>
            <w:vAlign w:val="center"/>
          </w:tcPr>
          <w:p>
            <w:r>
              <w:t xml:space="preserve">2</w:t>
            </w:r>
          </w:p>
        </w:tc>
        <w:tc>
          <w:tcPr>
            <w:tcW w:type="dxa" w:w="2226"/>
            <w:tcMar>
              <w:top w:type="dxa" w:w="100"/>
              <w:left w:type="dxa" w:w="120"/>
              <w:bottom w:type="dxa" w:w="100"/>
              <w:right w:type="dxa" w:w="120"/>
            </w:tcMar>
            <w:vAlign w:val="center"/>
          </w:tcPr>
          <w:p>
            <w:r>
              <w:t xml:space="preserve">★★</w:t>
            </w:r>
          </w:p>
        </w:tc>
      </w:tr>
      <w:tr>
        <w:tc>
          <w:tcPr>
            <w:tcW w:type="dxa" w:w="5400"/>
            <w:tcMar>
              <w:top w:type="dxa" w:w="100"/>
              <w:left w:type="dxa" w:w="120"/>
              <w:bottom w:type="dxa" w:w="100"/>
              <w:right w:type="dxa" w:w="120"/>
            </w:tcMar>
            <w:vAlign w:val="center"/>
          </w:tcPr>
          <w:p>
            <w:r>
              <w:t xml:space="preserve">Electric potential due to an electric dipole, at a general point</w:t>
            </w:r>
          </w:p>
        </w:tc>
        <w:tc>
          <w:tcPr>
            <w:tcW w:type="dxa" w:w="1400"/>
            <w:tcMar>
              <w:top w:type="dxa" w:w="100"/>
              <w:left w:type="dxa" w:w="120"/>
              <w:bottom w:type="dxa" w:w="100"/>
              <w:right w:type="dxa" w:w="120"/>
            </w:tcMar>
            <w:vAlign w:val="center"/>
          </w:tcPr>
          <w:p>
            <w:r>
              <w:t xml:space="preserve">3</w:t>
            </w:r>
          </w:p>
        </w:tc>
        <w:tc>
          <w:tcPr>
            <w:tcW w:type="dxa" w:w="2226"/>
            <w:tcMar>
              <w:top w:type="dxa" w:w="100"/>
              <w:left w:type="dxa" w:w="120"/>
              <w:bottom w:type="dxa" w:w="100"/>
              <w:right w:type="dxa" w:w="120"/>
            </w:tcMar>
            <w:vAlign w:val="center"/>
          </w:tcPr>
          <w:p>
            <w:r>
              <w:t xml:space="preserve">★★</w:t>
            </w:r>
          </w:p>
        </w:tc>
      </w:tr>
      <w:tr>
        <w:tc>
          <w:tcPr>
            <w:tcW w:type="dxa" w:w="5400"/>
            <w:tcMar>
              <w:top w:type="dxa" w:w="100"/>
              <w:left w:type="dxa" w:w="120"/>
              <w:bottom w:type="dxa" w:w="100"/>
              <w:right w:type="dxa" w:w="120"/>
            </w:tcMar>
            <w:vAlign w:val="center"/>
          </w:tcPr>
          <w:p>
            <w:r>
              <w:t xml:space="preserve">Relation between electric field and potential (E = −dV/dr)</w:t>
            </w:r>
          </w:p>
        </w:tc>
        <w:tc>
          <w:tcPr>
            <w:tcW w:type="dxa" w:w="1400"/>
            <w:tcMar>
              <w:top w:type="dxa" w:w="100"/>
              <w:left w:type="dxa" w:w="120"/>
              <w:bottom w:type="dxa" w:w="100"/>
              <w:right w:type="dxa" w:w="120"/>
            </w:tcMar>
            <w:vAlign w:val="center"/>
          </w:tcPr>
          <w:p>
            <w:r>
              <w:t xml:space="preserve">2</w:t>
            </w:r>
          </w:p>
        </w:tc>
        <w:tc>
          <w:tcPr>
            <w:tcW w:type="dxa" w:w="2226"/>
            <w:tcMar>
              <w:top w:type="dxa" w:w="100"/>
              <w:left w:type="dxa" w:w="120"/>
              <w:bottom w:type="dxa" w:w="100"/>
              <w:right w:type="dxa" w:w="120"/>
            </w:tcMar>
            <w:vAlign w:val="center"/>
          </w:tcPr>
          <w:p>
            <w:r>
              <w:t xml:space="preserve">★★</w:t>
            </w:r>
          </w:p>
        </w:tc>
      </w:tr>
      <w:tr>
        <w:tc>
          <w:tcPr>
            <w:tcW w:type="dxa" w:w="5400"/>
            <w:tcMar>
              <w:top w:type="dxa" w:w="100"/>
              <w:left w:type="dxa" w:w="120"/>
              <w:bottom w:type="dxa" w:w="100"/>
              <w:right w:type="dxa" w:w="120"/>
            </w:tcMar>
            <w:vAlign w:val="center"/>
          </w:tcPr>
          <w:p>
            <w:r>
              <w:t xml:space="preserve">Capacitance of a </w:t>
            </w:r>
            <w:r>
              <w:rPr>
                <w:b/>
                <w:bCs/>
              </w:rPr>
              <w:t xml:space="preserve">parallel plate capacitor</w:t>
            </w:r>
            <w:r>
              <w:t xml:space="preserve"> (no dielectric)</w:t>
            </w:r>
          </w:p>
        </w:tc>
        <w:tc>
          <w:tcPr>
            <w:tcW w:type="dxa" w:w="1400"/>
            <w:tcMar>
              <w:top w:type="dxa" w:w="100"/>
              <w:left w:type="dxa" w:w="120"/>
              <w:bottom w:type="dxa" w:w="100"/>
              <w:right w:type="dxa" w:w="120"/>
            </w:tcMar>
            <w:vAlign w:val="center"/>
          </w:tcPr>
          <w:p>
            <w:r>
              <w:t xml:space="preserve">3</w:t>
            </w:r>
          </w:p>
        </w:tc>
        <w:tc>
          <w:tcPr>
            <w:tcW w:type="dxa" w:w="2226"/>
            <w:tcMar>
              <w:top w:type="dxa" w:w="100"/>
              <w:left w:type="dxa" w:w="120"/>
              <w:bottom w:type="dxa" w:w="100"/>
              <w:right w:type="dxa" w:w="120"/>
            </w:tcMar>
            <w:vAlign w:val="center"/>
          </w:tcPr>
          <w:p>
            <w:r>
              <w:t xml:space="preserve">★★★</w:t>
            </w:r>
          </w:p>
        </w:tc>
      </w:tr>
      <w:tr>
        <w:tc>
          <w:tcPr>
            <w:tcW w:type="dxa" w:w="5400"/>
            <w:tcMar>
              <w:top w:type="dxa" w:w="100"/>
              <w:left w:type="dxa" w:w="120"/>
              <w:bottom w:type="dxa" w:w="100"/>
              <w:right w:type="dxa" w:w="120"/>
            </w:tcMar>
            <w:vAlign w:val="center"/>
          </w:tcPr>
          <w:p>
            <w:r>
              <w:t xml:space="preserve">Capacitance of a parallel plate capacitor </w:t>
            </w:r>
            <w:r>
              <w:rPr>
                <w:b/>
                <w:bCs/>
              </w:rPr>
              <w:t xml:space="preserve">with a dielectric slab</w:t>
            </w:r>
          </w:p>
        </w:tc>
        <w:tc>
          <w:tcPr>
            <w:tcW w:type="dxa" w:w="1400"/>
            <w:tcMar>
              <w:top w:type="dxa" w:w="100"/>
              <w:left w:type="dxa" w:w="120"/>
              <w:bottom w:type="dxa" w:w="100"/>
              <w:right w:type="dxa" w:w="120"/>
            </w:tcMar>
            <w:vAlign w:val="center"/>
          </w:tcPr>
          <w:p>
            <w:r>
              <w:t xml:space="preserve">3–5</w:t>
            </w:r>
          </w:p>
        </w:tc>
        <w:tc>
          <w:tcPr>
            <w:tcW w:type="dxa" w:w="2226"/>
            <w:tcMar>
              <w:top w:type="dxa" w:w="100"/>
              <w:left w:type="dxa" w:w="120"/>
              <w:bottom w:type="dxa" w:w="100"/>
              <w:right w:type="dxa" w:w="120"/>
            </w:tcMar>
            <w:vAlign w:val="center"/>
          </w:tcPr>
          <w:p>
            <w:r>
              <w:t xml:space="preserve">★★★</w:t>
            </w:r>
          </w:p>
        </w:tc>
      </w:tr>
      <w:tr>
        <w:tc>
          <w:tcPr>
            <w:tcW w:type="dxa" w:w="5400"/>
            <w:tcMar>
              <w:top w:type="dxa" w:w="100"/>
              <w:left w:type="dxa" w:w="120"/>
              <w:bottom w:type="dxa" w:w="100"/>
              <w:right w:type="dxa" w:w="120"/>
            </w:tcMar>
            <w:vAlign w:val="center"/>
          </w:tcPr>
          <w:p>
            <w:r>
              <w:t xml:space="preserve">Effective capacitance of capacitors in </w:t>
            </w:r>
            <w:r>
              <w:rPr>
                <w:b/>
                <w:bCs/>
              </w:rPr>
              <w:t xml:space="preserve">series</w:t>
            </w:r>
            <w:r>
              <w:t xml:space="preserve"> and in </w:t>
            </w:r>
            <w:r>
              <w:rPr>
                <w:b/>
                <w:bCs/>
              </w:rPr>
              <w:t xml:space="preserve">parallel</w:t>
            </w:r>
          </w:p>
        </w:tc>
        <w:tc>
          <w:tcPr>
            <w:tcW w:type="dxa" w:w="1400"/>
            <w:tcMar>
              <w:top w:type="dxa" w:w="100"/>
              <w:left w:type="dxa" w:w="120"/>
              <w:bottom w:type="dxa" w:w="100"/>
              <w:right w:type="dxa" w:w="120"/>
            </w:tcMar>
            <w:vAlign w:val="center"/>
          </w:tcPr>
          <w:p>
            <w:r>
              <w:t xml:space="preserve">2–3</w:t>
            </w:r>
          </w:p>
        </w:tc>
        <w:tc>
          <w:tcPr>
            <w:tcW w:type="dxa" w:w="2226"/>
            <w:tcMar>
              <w:top w:type="dxa" w:w="100"/>
              <w:left w:type="dxa" w:w="120"/>
              <w:bottom w:type="dxa" w:w="100"/>
              <w:right w:type="dxa" w:w="120"/>
            </w:tcMar>
            <w:vAlign w:val="center"/>
          </w:tcPr>
          <w:p>
            <w:r>
              <w:t xml:space="preserve">★★</w:t>
            </w:r>
          </w:p>
        </w:tc>
      </w:tr>
    </w:tbl>
    <w:p>
      <w:pPr>
        <w:spacing w:after="240" w:before="80"/>
        <w:ind w:left="180"/>
      </w:pPr>
      <w:r>
        <w:rPr>
          <w:b/>
          <w:bCs/>
        </w:rPr>
        <w:t xml:space="preserve">Formula only:</w:t>
      </w:r>
      <w:r>
        <w:t xml:space="preserve"> Energy stored in a capacitor — U = ½CV² = ½QV = Q²/2C. The syllabus explicitly says "no derivation, formulae only" — know the three equivalent forms and when to use each, don't derive it.</w:t>
      </w:r>
    </w:p>
    <w:p>
      <w:pPr>
        <w:pStyle w:val="Heading2"/>
        <w:spacing w:after="160" w:before="360"/>
      </w:pPr>
      <w:r>
        <w:t xml:space="preserve">Unit 2 — Current Electricity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400"/>
        <w:gridCol w:w="1400"/>
        <w:gridCol w:w="2226"/>
      </w:tblGrid>
      <w:tr>
        <w:trPr>
          <w:tblHeader/>
        </w:trPr>
        <w:tc>
          <w:tcPr>
            <w:tcW w:type="dxa" w:w="5400"/>
            <w:shd w:fill="DDE3EC" w:val="clear"/>
            <w:tcMar>
              <w:top w:type="dxa" w:w="100"/>
              <w:left w:type="dxa" w:w="120"/>
              <w:bottom w:type="dxa" w:w="100"/>
              <w:right w:type="dxa" w:w="120"/>
            </w:tcMar>
            <w:vAlign w:val="center"/>
          </w:tcPr>
          <w:p>
            <w:r>
              <w:rPr>
                <w:b/>
                <w:bCs/>
              </w:rPr>
              <w:t xml:space="preserve">Derivation</w:t>
            </w:r>
          </w:p>
        </w:tc>
        <w:tc>
          <w:tcPr>
            <w:tcW w:type="dxa" w:w="1400"/>
            <w:shd w:fill="DDE3EC" w:val="clear"/>
            <w:tcMar>
              <w:top w:type="dxa" w:w="100"/>
              <w:left w:type="dxa" w:w="120"/>
              <w:bottom w:type="dxa" w:w="100"/>
              <w:right w:type="dxa" w:w="120"/>
            </w:tcMar>
            <w:vAlign w:val="center"/>
          </w:tcPr>
          <w:p>
            <w:r>
              <w:rPr>
                <w:b/>
                <w:bCs/>
              </w:rPr>
              <w:t xml:space="preserve">Typical marks</w:t>
            </w:r>
          </w:p>
        </w:tc>
        <w:tc>
          <w:tcPr>
            <w:tcW w:type="dxa" w:w="2226"/>
            <w:shd w:fill="DDE3EC" w:val="clear"/>
            <w:tcMar>
              <w:top w:type="dxa" w:w="100"/>
              <w:left w:type="dxa" w:w="120"/>
              <w:bottom w:type="dxa" w:w="100"/>
              <w:right w:type="dxa" w:w="120"/>
            </w:tcMar>
            <w:vAlign w:val="center"/>
          </w:tcPr>
          <w:p>
            <w:r>
              <w:rPr>
                <w:b/>
                <w:bCs/>
              </w:rPr>
              <w:t xml:space="preserve">Frequency</w:t>
            </w:r>
          </w:p>
        </w:tc>
      </w:tr>
      <w:tr>
        <w:tc>
          <w:tcPr>
            <w:tcW w:type="dxa" w:w="5400"/>
            <w:tcMar>
              <w:top w:type="dxa" w:w="100"/>
              <w:left w:type="dxa" w:w="120"/>
              <w:bottom w:type="dxa" w:w="100"/>
              <w:right w:type="dxa" w:w="120"/>
            </w:tcMar>
            <w:vAlign w:val="center"/>
          </w:tcPr>
          <w:p>
            <w:r>
              <w:t xml:space="preserve">Relation between current and drift velocity (I = nAeV_d)</w:t>
            </w:r>
          </w:p>
        </w:tc>
        <w:tc>
          <w:tcPr>
            <w:tcW w:type="dxa" w:w="1400"/>
            <w:tcMar>
              <w:top w:type="dxa" w:w="100"/>
              <w:left w:type="dxa" w:w="120"/>
              <w:bottom w:type="dxa" w:w="100"/>
              <w:right w:type="dxa" w:w="120"/>
            </w:tcMar>
            <w:vAlign w:val="center"/>
          </w:tcPr>
          <w:p>
            <w:r>
              <w:t xml:space="preserve">3</w:t>
            </w:r>
          </w:p>
        </w:tc>
        <w:tc>
          <w:tcPr>
            <w:tcW w:type="dxa" w:w="2226"/>
            <w:tcMar>
              <w:top w:type="dxa" w:w="100"/>
              <w:left w:type="dxa" w:w="120"/>
              <w:bottom w:type="dxa" w:w="100"/>
              <w:right w:type="dxa" w:w="120"/>
            </w:tcMar>
            <w:vAlign w:val="center"/>
          </w:tcPr>
          <w:p>
            <w:r>
              <w:t xml:space="preserve">★★★</w:t>
            </w:r>
          </w:p>
        </w:tc>
      </w:tr>
      <w:tr>
        <w:tc>
          <w:tcPr>
            <w:tcW w:type="dxa" w:w="5400"/>
            <w:tcMar>
              <w:top w:type="dxa" w:w="100"/>
              <w:left w:type="dxa" w:w="120"/>
              <w:bottom w:type="dxa" w:w="100"/>
              <w:right w:type="dxa" w:w="120"/>
            </w:tcMar>
            <w:vAlign w:val="center"/>
          </w:tcPr>
          <w:p>
            <w:r>
              <w:t xml:space="preserve">Ohm's law from the microscopic (drift velocity) model; resistivity ρ = m/(ne²τ)</w:t>
            </w:r>
          </w:p>
        </w:tc>
        <w:tc>
          <w:tcPr>
            <w:tcW w:type="dxa" w:w="1400"/>
            <w:tcMar>
              <w:top w:type="dxa" w:w="100"/>
              <w:left w:type="dxa" w:w="120"/>
              <w:bottom w:type="dxa" w:w="100"/>
              <w:right w:type="dxa" w:w="120"/>
            </w:tcMar>
            <w:vAlign w:val="center"/>
          </w:tcPr>
          <w:p>
            <w:r>
              <w:t xml:space="preserve">3–5</w:t>
            </w:r>
          </w:p>
        </w:tc>
        <w:tc>
          <w:tcPr>
            <w:tcW w:type="dxa" w:w="2226"/>
            <w:tcMar>
              <w:top w:type="dxa" w:w="100"/>
              <w:left w:type="dxa" w:w="120"/>
              <w:bottom w:type="dxa" w:w="100"/>
              <w:right w:type="dxa" w:w="120"/>
            </w:tcMar>
            <w:vAlign w:val="center"/>
          </w:tcPr>
          <w:p>
            <w:r>
              <w:t xml:space="preserve">★★★</w:t>
            </w:r>
          </w:p>
        </w:tc>
      </w:tr>
      <w:tr>
        <w:tc>
          <w:tcPr>
            <w:tcW w:type="dxa" w:w="5400"/>
            <w:tcMar>
              <w:top w:type="dxa" w:w="100"/>
              <w:left w:type="dxa" w:w="120"/>
              <w:bottom w:type="dxa" w:w="100"/>
              <w:right w:type="dxa" w:w="120"/>
            </w:tcMar>
            <w:vAlign w:val="center"/>
          </w:tcPr>
          <w:p>
            <w:r>
              <w:t xml:space="preserve">Balance condition of the </w:t>
            </w:r>
            <w:r>
              <w:rPr>
                <w:b/>
                <w:bCs/>
              </w:rPr>
              <w:t xml:space="preserve">Wheatstone bridge</w:t>
            </w:r>
          </w:p>
        </w:tc>
        <w:tc>
          <w:tcPr>
            <w:tcW w:type="dxa" w:w="1400"/>
            <w:tcMar>
              <w:top w:type="dxa" w:w="100"/>
              <w:left w:type="dxa" w:w="120"/>
              <w:bottom w:type="dxa" w:w="100"/>
              <w:right w:type="dxa" w:w="120"/>
            </w:tcMar>
            <w:vAlign w:val="center"/>
          </w:tcPr>
          <w:p>
            <w:r>
              <w:t xml:space="preserve">2–3</w:t>
            </w:r>
          </w:p>
        </w:tc>
        <w:tc>
          <w:tcPr>
            <w:tcW w:type="dxa" w:w="2226"/>
            <w:tcMar>
              <w:top w:type="dxa" w:w="100"/>
              <w:left w:type="dxa" w:w="120"/>
              <w:bottom w:type="dxa" w:w="100"/>
              <w:right w:type="dxa" w:w="120"/>
            </w:tcMar>
            <w:vAlign w:val="center"/>
          </w:tcPr>
          <w:p>
            <w:r>
              <w:t xml:space="preserve">★★</w:t>
            </w:r>
          </w:p>
        </w:tc>
      </w:tr>
      <w:tr>
        <w:tc>
          <w:tcPr>
            <w:tcW w:type="dxa" w:w="5400"/>
            <w:tcMar>
              <w:top w:type="dxa" w:w="100"/>
              <w:left w:type="dxa" w:w="120"/>
              <w:bottom w:type="dxa" w:w="100"/>
              <w:right w:type="dxa" w:w="120"/>
            </w:tcMar>
            <w:vAlign w:val="center"/>
          </w:tcPr>
          <w:p>
            <w:r>
              <w:t xml:space="preserve">Principle of a </w:t>
            </w:r>
            <w:r>
              <w:rPr>
                <w:b/>
                <w:bCs/>
              </w:rPr>
              <w:t xml:space="preserve">potentiometer</w:t>
            </w:r>
            <w:r>
              <w:t xml:space="preserve"> — comparing EMFs of two cells / finding internal resistance</w:t>
            </w:r>
          </w:p>
        </w:tc>
        <w:tc>
          <w:tcPr>
            <w:tcW w:type="dxa" w:w="1400"/>
            <w:tcMar>
              <w:top w:type="dxa" w:w="100"/>
              <w:left w:type="dxa" w:w="120"/>
              <w:bottom w:type="dxa" w:w="100"/>
              <w:right w:type="dxa" w:w="120"/>
            </w:tcMar>
            <w:vAlign w:val="center"/>
          </w:tcPr>
          <w:p>
            <w:r>
              <w:t xml:space="preserve">3–5</w:t>
            </w:r>
          </w:p>
        </w:tc>
        <w:tc>
          <w:tcPr>
            <w:tcW w:type="dxa" w:w="2226"/>
            <w:tcMar>
              <w:top w:type="dxa" w:w="100"/>
              <w:left w:type="dxa" w:w="120"/>
              <w:bottom w:type="dxa" w:w="100"/>
              <w:right w:type="dxa" w:w="120"/>
            </w:tcMar>
            <w:vAlign w:val="center"/>
          </w:tcPr>
          <w:p>
            <w:r>
              <w:t xml:space="preserve">★★</w:t>
            </w:r>
          </w:p>
        </w:tc>
      </w:tr>
    </w:tbl>
    <w:p>
      <w:pPr>
        <w:pStyle w:val="Heading2"/>
        <w:spacing w:after="160" w:before="360"/>
      </w:pPr>
      <w:r>
        <w:t xml:space="preserve">Unit 3 — Moving Charges and Magnetism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400"/>
        <w:gridCol w:w="1400"/>
        <w:gridCol w:w="2226"/>
      </w:tblGrid>
      <w:tr>
        <w:trPr>
          <w:tblHeader/>
        </w:trPr>
        <w:tc>
          <w:tcPr>
            <w:tcW w:type="dxa" w:w="5400"/>
            <w:shd w:fill="DDE3EC" w:val="clear"/>
            <w:tcMar>
              <w:top w:type="dxa" w:w="100"/>
              <w:left w:type="dxa" w:w="120"/>
              <w:bottom w:type="dxa" w:w="100"/>
              <w:right w:type="dxa" w:w="120"/>
            </w:tcMar>
            <w:vAlign w:val="center"/>
          </w:tcPr>
          <w:p>
            <w:r>
              <w:rPr>
                <w:b/>
                <w:bCs/>
              </w:rPr>
              <w:t xml:space="preserve">Derivation</w:t>
            </w:r>
          </w:p>
        </w:tc>
        <w:tc>
          <w:tcPr>
            <w:tcW w:type="dxa" w:w="1400"/>
            <w:shd w:fill="DDE3EC" w:val="clear"/>
            <w:tcMar>
              <w:top w:type="dxa" w:w="100"/>
              <w:left w:type="dxa" w:w="120"/>
              <w:bottom w:type="dxa" w:w="100"/>
              <w:right w:type="dxa" w:w="120"/>
            </w:tcMar>
            <w:vAlign w:val="center"/>
          </w:tcPr>
          <w:p>
            <w:r>
              <w:rPr>
                <w:b/>
                <w:bCs/>
              </w:rPr>
              <w:t xml:space="preserve">Typical marks</w:t>
            </w:r>
          </w:p>
        </w:tc>
        <w:tc>
          <w:tcPr>
            <w:tcW w:type="dxa" w:w="2226"/>
            <w:shd w:fill="DDE3EC" w:val="clear"/>
            <w:tcMar>
              <w:top w:type="dxa" w:w="100"/>
              <w:left w:type="dxa" w:w="120"/>
              <w:bottom w:type="dxa" w:w="100"/>
              <w:right w:type="dxa" w:w="120"/>
            </w:tcMar>
            <w:vAlign w:val="center"/>
          </w:tcPr>
          <w:p>
            <w:r>
              <w:rPr>
                <w:b/>
                <w:bCs/>
              </w:rPr>
              <w:t xml:space="preserve">Frequency</w:t>
            </w:r>
          </w:p>
        </w:tc>
      </w:tr>
      <w:tr>
        <w:tc>
          <w:tcPr>
            <w:tcW w:type="dxa" w:w="5400"/>
            <w:tcMar>
              <w:top w:type="dxa" w:w="100"/>
              <w:left w:type="dxa" w:w="120"/>
              <w:bottom w:type="dxa" w:w="100"/>
              <w:right w:type="dxa" w:w="120"/>
            </w:tcMar>
            <w:vAlign w:val="center"/>
          </w:tcPr>
          <w:p>
            <w:r>
              <w:t xml:space="preserve">Magnetic field at the </w:t>
            </w:r>
            <w:r>
              <w:rPr>
                <w:b/>
                <w:bCs/>
              </w:rPr>
              <w:t xml:space="preserve">centre</w:t>
            </w:r>
            <w:r>
              <w:t xml:space="preserve"> of a current-carrying circular loop (Biot–Savart law)</w:t>
            </w:r>
          </w:p>
        </w:tc>
        <w:tc>
          <w:tcPr>
            <w:tcW w:type="dxa" w:w="1400"/>
            <w:tcMar>
              <w:top w:type="dxa" w:w="100"/>
              <w:left w:type="dxa" w:w="120"/>
              <w:bottom w:type="dxa" w:w="100"/>
              <w:right w:type="dxa" w:w="120"/>
            </w:tcMar>
            <w:vAlign w:val="center"/>
          </w:tcPr>
          <w:p>
            <w:r>
              <w:t xml:space="preserve">3</w:t>
            </w:r>
          </w:p>
        </w:tc>
        <w:tc>
          <w:tcPr>
            <w:tcW w:type="dxa" w:w="2226"/>
            <w:tcMar>
              <w:top w:type="dxa" w:w="100"/>
              <w:left w:type="dxa" w:w="120"/>
              <w:bottom w:type="dxa" w:w="100"/>
              <w:right w:type="dxa" w:w="120"/>
            </w:tcMar>
            <w:vAlign w:val="center"/>
          </w:tcPr>
          <w:p>
            <w:r>
              <w:t xml:space="preserve">★★★</w:t>
            </w:r>
          </w:p>
        </w:tc>
      </w:tr>
      <w:tr>
        <w:tc>
          <w:tcPr>
            <w:tcW w:type="dxa" w:w="5400"/>
            <w:tcMar>
              <w:top w:type="dxa" w:w="100"/>
              <w:left w:type="dxa" w:w="120"/>
              <w:bottom w:type="dxa" w:w="100"/>
              <w:right w:type="dxa" w:w="120"/>
            </w:tcMar>
            <w:vAlign w:val="center"/>
          </w:tcPr>
          <w:p>
            <w:r>
              <w:t xml:space="preserve">Magnetic field </w:t>
            </w:r>
            <w:r>
              <w:rPr>
                <w:b/>
                <w:bCs/>
              </w:rPr>
              <w:t xml:space="preserve">on the axis</w:t>
            </w:r>
            <w:r>
              <w:t xml:space="preserve"> of a current-carrying circular loop</w:t>
            </w:r>
          </w:p>
        </w:tc>
        <w:tc>
          <w:tcPr>
            <w:tcW w:type="dxa" w:w="1400"/>
            <w:tcMar>
              <w:top w:type="dxa" w:w="100"/>
              <w:left w:type="dxa" w:w="120"/>
              <w:bottom w:type="dxa" w:w="100"/>
              <w:right w:type="dxa" w:w="120"/>
            </w:tcMar>
            <w:vAlign w:val="center"/>
          </w:tcPr>
          <w:p>
            <w:r>
              <w:t xml:space="preserve">3–5</w:t>
            </w:r>
          </w:p>
        </w:tc>
        <w:tc>
          <w:tcPr>
            <w:tcW w:type="dxa" w:w="2226"/>
            <w:tcMar>
              <w:top w:type="dxa" w:w="100"/>
              <w:left w:type="dxa" w:w="120"/>
              <w:bottom w:type="dxa" w:w="100"/>
              <w:right w:type="dxa" w:w="120"/>
            </w:tcMar>
            <w:vAlign w:val="center"/>
          </w:tcPr>
          <w:p>
            <w:r>
              <w:t xml:space="preserve">★★★</w:t>
            </w:r>
          </w:p>
        </w:tc>
      </w:tr>
      <w:tr>
        <w:tc>
          <w:tcPr>
            <w:tcW w:type="dxa" w:w="5400"/>
            <w:tcMar>
              <w:top w:type="dxa" w:w="100"/>
              <w:left w:type="dxa" w:w="120"/>
              <w:bottom w:type="dxa" w:w="100"/>
              <w:right w:type="dxa" w:w="120"/>
            </w:tcMar>
            <w:vAlign w:val="center"/>
          </w:tcPr>
          <w:p>
            <w:r>
              <w:t xml:space="preserve">Magnetic field due to a straight current-carrying conductor (Biot–Savart law)</w:t>
            </w:r>
          </w:p>
        </w:tc>
        <w:tc>
          <w:tcPr>
            <w:tcW w:type="dxa" w:w="1400"/>
            <w:tcMar>
              <w:top w:type="dxa" w:w="100"/>
              <w:left w:type="dxa" w:w="120"/>
              <w:bottom w:type="dxa" w:w="100"/>
              <w:right w:type="dxa" w:w="120"/>
            </w:tcMar>
            <w:vAlign w:val="center"/>
          </w:tcPr>
          <w:p>
            <w:r>
              <w:t xml:space="preserve">3</w:t>
            </w:r>
          </w:p>
        </w:tc>
        <w:tc>
          <w:tcPr>
            <w:tcW w:type="dxa" w:w="2226"/>
            <w:tcMar>
              <w:top w:type="dxa" w:w="100"/>
              <w:left w:type="dxa" w:w="120"/>
              <w:bottom w:type="dxa" w:w="100"/>
              <w:right w:type="dxa" w:w="120"/>
            </w:tcMar>
            <w:vAlign w:val="center"/>
          </w:tcPr>
          <w:p>
            <w:r>
              <w:t xml:space="preserve">★★</w:t>
            </w:r>
          </w:p>
        </w:tc>
      </w:tr>
      <w:tr>
        <w:tc>
          <w:tcPr>
            <w:tcW w:type="dxa" w:w="5400"/>
            <w:tcMar>
              <w:top w:type="dxa" w:w="100"/>
              <w:left w:type="dxa" w:w="120"/>
              <w:bottom w:type="dxa" w:w="100"/>
              <w:right w:type="dxa" w:w="120"/>
            </w:tcMar>
            <w:vAlign w:val="center"/>
          </w:tcPr>
          <w:p>
            <w:r>
              <w:t xml:space="preserve">Magnetic field inside a long </w:t>
            </w:r>
            <w:r>
              <w:rPr>
                <w:b/>
                <w:bCs/>
              </w:rPr>
              <w:t xml:space="preserve">solenoid</w:t>
            </w:r>
            <w:r>
              <w:t xml:space="preserve"> (Ampere's circuital law)</w:t>
            </w:r>
          </w:p>
        </w:tc>
        <w:tc>
          <w:tcPr>
            <w:tcW w:type="dxa" w:w="1400"/>
            <w:tcMar>
              <w:top w:type="dxa" w:w="100"/>
              <w:left w:type="dxa" w:w="120"/>
              <w:bottom w:type="dxa" w:w="100"/>
              <w:right w:type="dxa" w:w="120"/>
            </w:tcMar>
            <w:vAlign w:val="center"/>
          </w:tcPr>
          <w:p>
            <w:r>
              <w:t xml:space="preserve">3</w:t>
            </w:r>
          </w:p>
        </w:tc>
        <w:tc>
          <w:tcPr>
            <w:tcW w:type="dxa" w:w="2226"/>
            <w:tcMar>
              <w:top w:type="dxa" w:w="100"/>
              <w:left w:type="dxa" w:w="120"/>
              <w:bottom w:type="dxa" w:w="100"/>
              <w:right w:type="dxa" w:w="120"/>
            </w:tcMar>
            <w:vAlign w:val="center"/>
          </w:tcPr>
          <w:p>
            <w:r>
              <w:t xml:space="preserve">★★★</w:t>
            </w:r>
          </w:p>
        </w:tc>
      </w:tr>
      <w:tr>
        <w:tc>
          <w:tcPr>
            <w:tcW w:type="dxa" w:w="5400"/>
            <w:tcMar>
              <w:top w:type="dxa" w:w="100"/>
              <w:left w:type="dxa" w:w="120"/>
              <w:bottom w:type="dxa" w:w="100"/>
              <w:right w:type="dxa" w:w="120"/>
            </w:tcMar>
            <w:vAlign w:val="center"/>
          </w:tcPr>
          <w:p>
            <w:r>
              <w:t xml:space="preserve">Force between two long parallel current-carrying conductors; definition of the ampere</w:t>
            </w:r>
          </w:p>
        </w:tc>
        <w:tc>
          <w:tcPr>
            <w:tcW w:type="dxa" w:w="1400"/>
            <w:tcMar>
              <w:top w:type="dxa" w:w="100"/>
              <w:left w:type="dxa" w:w="120"/>
              <w:bottom w:type="dxa" w:w="100"/>
              <w:right w:type="dxa" w:w="120"/>
            </w:tcMar>
            <w:vAlign w:val="center"/>
          </w:tcPr>
          <w:p>
            <w:r>
              <w:t xml:space="preserve">3</w:t>
            </w:r>
          </w:p>
        </w:tc>
        <w:tc>
          <w:tcPr>
            <w:tcW w:type="dxa" w:w="2226"/>
            <w:tcMar>
              <w:top w:type="dxa" w:w="100"/>
              <w:left w:type="dxa" w:w="120"/>
              <w:bottom w:type="dxa" w:w="100"/>
              <w:right w:type="dxa" w:w="120"/>
            </w:tcMar>
            <w:vAlign w:val="center"/>
          </w:tcPr>
          <w:p>
            <w:r>
              <w:t xml:space="preserve">★★★</w:t>
            </w:r>
          </w:p>
        </w:tc>
      </w:tr>
      <w:tr>
        <w:tc>
          <w:tcPr>
            <w:tcW w:type="dxa" w:w="5400"/>
            <w:tcMar>
              <w:top w:type="dxa" w:w="100"/>
              <w:left w:type="dxa" w:w="120"/>
              <w:bottom w:type="dxa" w:w="100"/>
              <w:right w:type="dxa" w:w="120"/>
            </w:tcMar>
            <w:vAlign w:val="center"/>
          </w:tcPr>
          <w:p>
            <w:r>
              <w:t xml:space="preserve">Torque on a current-carrying loop in a uniform magnetic field; principle of a </w:t>
            </w:r>
            <w:r>
              <w:rPr>
                <w:b/>
                <w:bCs/>
              </w:rPr>
              <w:t xml:space="preserve">moving-coil galvanometer</w:t>
            </w:r>
          </w:p>
        </w:tc>
        <w:tc>
          <w:tcPr>
            <w:tcW w:type="dxa" w:w="1400"/>
            <w:tcMar>
              <w:top w:type="dxa" w:w="100"/>
              <w:left w:type="dxa" w:w="120"/>
              <w:bottom w:type="dxa" w:w="100"/>
              <w:right w:type="dxa" w:w="120"/>
            </w:tcMar>
            <w:vAlign w:val="center"/>
          </w:tcPr>
          <w:p>
            <w:r>
              <w:t xml:space="preserve">3–5</w:t>
            </w:r>
          </w:p>
        </w:tc>
        <w:tc>
          <w:tcPr>
            <w:tcW w:type="dxa" w:w="2226"/>
            <w:tcMar>
              <w:top w:type="dxa" w:w="100"/>
              <w:left w:type="dxa" w:w="120"/>
              <w:bottom w:type="dxa" w:w="100"/>
              <w:right w:type="dxa" w:w="120"/>
            </w:tcMar>
            <w:vAlign w:val="center"/>
          </w:tcPr>
          <w:p>
            <w:r>
              <w:t xml:space="preserve">★★★</w:t>
            </w:r>
          </w:p>
        </w:tc>
      </w:tr>
      <w:tr>
        <w:tc>
          <w:tcPr>
            <w:tcW w:type="dxa" w:w="5400"/>
            <w:tcMar>
              <w:top w:type="dxa" w:w="100"/>
              <w:left w:type="dxa" w:w="120"/>
              <w:bottom w:type="dxa" w:w="100"/>
              <w:right w:type="dxa" w:w="120"/>
            </w:tcMar>
            <w:vAlign w:val="center"/>
          </w:tcPr>
          <w:p>
            <w:r>
              <w:t xml:space="preserve">Conversion of a galvanometer into an </w:t>
            </w:r>
            <w:r>
              <w:rPr>
                <w:b/>
                <w:bCs/>
              </w:rPr>
              <w:t xml:space="preserve">ammeter</w:t>
            </w:r>
            <w:r>
              <w:t xml:space="preserve"> (shunt) and a </w:t>
            </w:r>
            <w:r>
              <w:rPr>
                <w:b/>
                <w:bCs/>
              </w:rPr>
              <w:t xml:space="preserve">voltmeter</w:t>
            </w:r>
            <w:r>
              <w:t xml:space="preserve"> (series resistance)</w:t>
            </w:r>
          </w:p>
        </w:tc>
        <w:tc>
          <w:tcPr>
            <w:tcW w:type="dxa" w:w="1400"/>
            <w:tcMar>
              <w:top w:type="dxa" w:w="100"/>
              <w:left w:type="dxa" w:w="120"/>
              <w:bottom w:type="dxa" w:w="100"/>
              <w:right w:type="dxa" w:w="120"/>
            </w:tcMar>
            <w:vAlign w:val="center"/>
          </w:tcPr>
          <w:p>
            <w:r>
              <w:t xml:space="preserve">2–3</w:t>
            </w:r>
          </w:p>
        </w:tc>
        <w:tc>
          <w:tcPr>
            <w:tcW w:type="dxa" w:w="2226"/>
            <w:tcMar>
              <w:top w:type="dxa" w:w="100"/>
              <w:left w:type="dxa" w:w="120"/>
              <w:bottom w:type="dxa" w:w="100"/>
              <w:right w:type="dxa" w:w="120"/>
            </w:tcMar>
            <w:vAlign w:val="center"/>
          </w:tcPr>
          <w:p>
            <w:r>
              <w:t xml:space="preserve">★★</w:t>
            </w:r>
          </w:p>
        </w:tc>
      </w:tr>
    </w:tbl>
    <w:p>
      <w:pPr>
        <w:spacing w:after="240" w:before="80"/>
        <w:ind w:left="180"/>
      </w:pPr>
      <w:r>
        <w:rPr>
          <w:b/>
          <w:bCs/>
        </w:rPr>
        <w:t xml:space="preserve">Qualitative only (Magnetism and Matter):</w:t>
      </w:r>
      <w:r>
        <w:t xml:space="preserve"> a bar magnet as an equivalent solenoid, and the magnetic field intensity of a dipole on its axial and equatorial lines, are both listed as qualitative treatment only — no derivation is expected for either.</w:t>
      </w:r>
    </w:p>
    <w:p>
      <w:pPr>
        <w:pStyle w:val="Heading2"/>
        <w:spacing w:after="160" w:before="360"/>
      </w:pPr>
      <w:r>
        <w:t xml:space="preserve">Unit 4 — Electromagnetic Induction &amp; Alternating Current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400"/>
        <w:gridCol w:w="1400"/>
        <w:gridCol w:w="2226"/>
      </w:tblGrid>
      <w:tr>
        <w:trPr>
          <w:tblHeader/>
        </w:trPr>
        <w:tc>
          <w:tcPr>
            <w:tcW w:type="dxa" w:w="5400"/>
            <w:shd w:fill="DDE3EC" w:val="clear"/>
            <w:tcMar>
              <w:top w:type="dxa" w:w="100"/>
              <w:left w:type="dxa" w:w="120"/>
              <w:bottom w:type="dxa" w:w="100"/>
              <w:right w:type="dxa" w:w="120"/>
            </w:tcMar>
            <w:vAlign w:val="center"/>
          </w:tcPr>
          <w:p>
            <w:r>
              <w:rPr>
                <w:b/>
                <w:bCs/>
              </w:rPr>
              <w:t xml:space="preserve">Derivation</w:t>
            </w:r>
          </w:p>
        </w:tc>
        <w:tc>
          <w:tcPr>
            <w:tcW w:type="dxa" w:w="1400"/>
            <w:shd w:fill="DDE3EC" w:val="clear"/>
            <w:tcMar>
              <w:top w:type="dxa" w:w="100"/>
              <w:left w:type="dxa" w:w="120"/>
              <w:bottom w:type="dxa" w:w="100"/>
              <w:right w:type="dxa" w:w="120"/>
            </w:tcMar>
            <w:vAlign w:val="center"/>
          </w:tcPr>
          <w:p>
            <w:r>
              <w:rPr>
                <w:b/>
                <w:bCs/>
              </w:rPr>
              <w:t xml:space="preserve">Typical marks</w:t>
            </w:r>
          </w:p>
        </w:tc>
        <w:tc>
          <w:tcPr>
            <w:tcW w:type="dxa" w:w="2226"/>
            <w:shd w:fill="DDE3EC" w:val="clear"/>
            <w:tcMar>
              <w:top w:type="dxa" w:w="100"/>
              <w:left w:type="dxa" w:w="120"/>
              <w:bottom w:type="dxa" w:w="100"/>
              <w:right w:type="dxa" w:w="120"/>
            </w:tcMar>
            <w:vAlign w:val="center"/>
          </w:tcPr>
          <w:p>
            <w:r>
              <w:rPr>
                <w:b/>
                <w:bCs/>
              </w:rPr>
              <w:t xml:space="preserve">Frequency</w:t>
            </w:r>
          </w:p>
        </w:tc>
      </w:tr>
      <w:tr>
        <w:tc>
          <w:tcPr>
            <w:tcW w:type="dxa" w:w="5400"/>
            <w:tcMar>
              <w:top w:type="dxa" w:w="100"/>
              <w:left w:type="dxa" w:w="120"/>
              <w:bottom w:type="dxa" w:w="100"/>
              <w:right w:type="dxa" w:w="120"/>
            </w:tcMar>
            <w:vAlign w:val="center"/>
          </w:tcPr>
          <w:p>
            <w:r>
              <w:rPr>
                <w:b/>
                <w:bCs/>
              </w:rPr>
              <w:t xml:space="preserve">Motional EMF</w:t>
            </w:r>
            <w:r>
              <w:t xml:space="preserve"> (from the force on a moving charge)</w:t>
            </w:r>
          </w:p>
        </w:tc>
        <w:tc>
          <w:tcPr>
            <w:tcW w:type="dxa" w:w="1400"/>
            <w:tcMar>
              <w:top w:type="dxa" w:w="100"/>
              <w:left w:type="dxa" w:w="120"/>
              <w:bottom w:type="dxa" w:w="100"/>
              <w:right w:type="dxa" w:w="120"/>
            </w:tcMar>
            <w:vAlign w:val="center"/>
          </w:tcPr>
          <w:p>
            <w:r>
              <w:t xml:space="preserve">3</w:t>
            </w:r>
          </w:p>
        </w:tc>
        <w:tc>
          <w:tcPr>
            <w:tcW w:type="dxa" w:w="2226"/>
            <w:tcMar>
              <w:top w:type="dxa" w:w="100"/>
              <w:left w:type="dxa" w:w="120"/>
              <w:bottom w:type="dxa" w:w="100"/>
              <w:right w:type="dxa" w:w="120"/>
            </w:tcMar>
            <w:vAlign w:val="center"/>
          </w:tcPr>
          <w:p>
            <w:r>
              <w:t xml:space="preserve">★★★</w:t>
            </w:r>
          </w:p>
        </w:tc>
      </w:tr>
      <w:tr>
        <w:tc>
          <w:tcPr>
            <w:tcW w:type="dxa" w:w="5400"/>
            <w:tcMar>
              <w:top w:type="dxa" w:w="100"/>
              <w:left w:type="dxa" w:w="120"/>
              <w:bottom w:type="dxa" w:w="100"/>
              <w:right w:type="dxa" w:w="120"/>
            </w:tcMar>
            <w:vAlign w:val="center"/>
          </w:tcPr>
          <w:p>
            <w:r>
              <w:t xml:space="preserve">Self-inductance of a long solenoid</w:t>
            </w:r>
          </w:p>
        </w:tc>
        <w:tc>
          <w:tcPr>
            <w:tcW w:type="dxa" w:w="1400"/>
            <w:tcMar>
              <w:top w:type="dxa" w:w="100"/>
              <w:left w:type="dxa" w:w="120"/>
              <w:bottom w:type="dxa" w:w="100"/>
              <w:right w:type="dxa" w:w="120"/>
            </w:tcMar>
            <w:vAlign w:val="center"/>
          </w:tcPr>
          <w:p>
            <w:r>
              <w:t xml:space="preserve">3</w:t>
            </w:r>
          </w:p>
        </w:tc>
        <w:tc>
          <w:tcPr>
            <w:tcW w:type="dxa" w:w="2226"/>
            <w:tcMar>
              <w:top w:type="dxa" w:w="100"/>
              <w:left w:type="dxa" w:w="120"/>
              <w:bottom w:type="dxa" w:w="100"/>
              <w:right w:type="dxa" w:w="120"/>
            </w:tcMar>
            <w:vAlign w:val="center"/>
          </w:tcPr>
          <w:p>
            <w:r>
              <w:t xml:space="preserve">★★★</w:t>
            </w:r>
          </w:p>
        </w:tc>
      </w:tr>
      <w:tr>
        <w:tc>
          <w:tcPr>
            <w:tcW w:type="dxa" w:w="5400"/>
            <w:tcMar>
              <w:top w:type="dxa" w:w="100"/>
              <w:left w:type="dxa" w:w="120"/>
              <w:bottom w:type="dxa" w:w="100"/>
              <w:right w:type="dxa" w:w="120"/>
            </w:tcMar>
            <w:vAlign w:val="center"/>
          </w:tcPr>
          <w:p>
            <w:r>
              <w:t xml:space="preserve">Mutual inductance of two long coaxial solenoids</w:t>
            </w:r>
          </w:p>
        </w:tc>
        <w:tc>
          <w:tcPr>
            <w:tcW w:type="dxa" w:w="1400"/>
            <w:tcMar>
              <w:top w:type="dxa" w:w="100"/>
              <w:left w:type="dxa" w:w="120"/>
              <w:bottom w:type="dxa" w:w="100"/>
              <w:right w:type="dxa" w:w="120"/>
            </w:tcMar>
            <w:vAlign w:val="center"/>
          </w:tcPr>
          <w:p>
            <w:r>
              <w:t xml:space="preserve">3–5</w:t>
            </w:r>
          </w:p>
        </w:tc>
        <w:tc>
          <w:tcPr>
            <w:tcW w:type="dxa" w:w="2226"/>
            <w:tcMar>
              <w:top w:type="dxa" w:w="100"/>
              <w:left w:type="dxa" w:w="120"/>
              <w:bottom w:type="dxa" w:w="100"/>
              <w:right w:type="dxa" w:w="120"/>
            </w:tcMar>
            <w:vAlign w:val="center"/>
          </w:tcPr>
          <w:p>
            <w:r>
              <w:t xml:space="preserve">★★</w:t>
            </w:r>
          </w:p>
        </w:tc>
      </w:tr>
      <w:tr>
        <w:tc>
          <w:tcPr>
            <w:tcW w:type="dxa" w:w="5400"/>
            <w:tcMar>
              <w:top w:type="dxa" w:w="100"/>
              <w:left w:type="dxa" w:w="120"/>
              <w:bottom w:type="dxa" w:w="100"/>
              <w:right w:type="dxa" w:w="120"/>
            </w:tcMar>
            <w:vAlign w:val="center"/>
          </w:tcPr>
          <w:p>
            <w:r>
              <w:rPr>
                <w:b/>
                <w:bCs/>
              </w:rPr>
              <w:t xml:space="preserve">AC generator</w:t>
            </w:r>
            <w:r>
              <w:t xml:space="preserve"> — derivation of the instantaneous EMF (e = e₀ sin ωt) from a coil rotating in a magnetic field</w:t>
            </w:r>
          </w:p>
        </w:tc>
        <w:tc>
          <w:tcPr>
            <w:tcW w:type="dxa" w:w="1400"/>
            <w:tcMar>
              <w:top w:type="dxa" w:w="100"/>
              <w:left w:type="dxa" w:w="120"/>
              <w:bottom w:type="dxa" w:w="100"/>
              <w:right w:type="dxa" w:w="120"/>
            </w:tcMar>
            <w:vAlign w:val="center"/>
          </w:tcPr>
          <w:p>
            <w:r>
              <w:t xml:space="preserve">3</w:t>
            </w:r>
          </w:p>
        </w:tc>
        <w:tc>
          <w:tcPr>
            <w:tcW w:type="dxa" w:w="2226"/>
            <w:tcMar>
              <w:top w:type="dxa" w:w="100"/>
              <w:left w:type="dxa" w:w="120"/>
              <w:bottom w:type="dxa" w:w="100"/>
              <w:right w:type="dxa" w:w="120"/>
            </w:tcMar>
            <w:vAlign w:val="center"/>
          </w:tcPr>
          <w:p>
            <w:r>
              <w:t xml:space="preserve">★★★</w:t>
            </w:r>
          </w:p>
        </w:tc>
      </w:tr>
      <w:tr>
        <w:tc>
          <w:tcPr>
            <w:tcW w:type="dxa" w:w="5400"/>
            <w:tcMar>
              <w:top w:type="dxa" w:w="100"/>
              <w:left w:type="dxa" w:w="120"/>
              <w:bottom w:type="dxa" w:w="100"/>
              <w:right w:type="dxa" w:w="120"/>
            </w:tcMar>
            <w:vAlign w:val="center"/>
          </w:tcPr>
          <w:p>
            <w:r>
              <w:t xml:space="preserve">Relation between the </w:t>
            </w:r>
            <w:r>
              <w:rPr>
                <w:b/>
                <w:bCs/>
              </w:rPr>
              <w:t xml:space="preserve">RMS and peak values</w:t>
            </w:r>
            <w:r>
              <w:t xml:space="preserve"> of alternating current/voltage (I_rms = I₀/√2)</w:t>
            </w:r>
          </w:p>
        </w:tc>
        <w:tc>
          <w:tcPr>
            <w:tcW w:type="dxa" w:w="1400"/>
            <w:tcMar>
              <w:top w:type="dxa" w:w="100"/>
              <w:left w:type="dxa" w:w="120"/>
              <w:bottom w:type="dxa" w:w="100"/>
              <w:right w:type="dxa" w:w="120"/>
            </w:tcMar>
            <w:vAlign w:val="center"/>
          </w:tcPr>
          <w:p>
            <w:r>
              <w:t xml:space="preserve">2</w:t>
            </w:r>
          </w:p>
        </w:tc>
        <w:tc>
          <w:tcPr>
            <w:tcW w:type="dxa" w:w="2226"/>
            <w:tcMar>
              <w:top w:type="dxa" w:w="100"/>
              <w:left w:type="dxa" w:w="120"/>
              <w:bottom w:type="dxa" w:w="100"/>
              <w:right w:type="dxa" w:w="120"/>
            </w:tcMar>
            <w:vAlign w:val="center"/>
          </w:tcPr>
          <w:p>
            <w:r>
              <w:t xml:space="preserve">★★</w:t>
            </w:r>
          </w:p>
        </w:tc>
      </w:tr>
      <w:tr>
        <w:tc>
          <w:tcPr>
            <w:tcW w:type="dxa" w:w="5400"/>
            <w:tcMar>
              <w:top w:type="dxa" w:w="100"/>
              <w:left w:type="dxa" w:w="120"/>
              <w:bottom w:type="dxa" w:w="100"/>
              <w:right w:type="dxa" w:w="120"/>
            </w:tcMar>
            <w:vAlign w:val="center"/>
          </w:tcPr>
          <w:p>
            <w:r>
              <w:t xml:space="preserve">AC through a pure resistor / pure inductor / pure capacitor — current, phase relationships</w:t>
            </w:r>
          </w:p>
        </w:tc>
        <w:tc>
          <w:tcPr>
            <w:tcW w:type="dxa" w:w="1400"/>
            <w:tcMar>
              <w:top w:type="dxa" w:w="100"/>
              <w:left w:type="dxa" w:w="120"/>
              <w:bottom w:type="dxa" w:w="100"/>
              <w:right w:type="dxa" w:w="120"/>
            </w:tcMar>
            <w:vAlign w:val="center"/>
          </w:tcPr>
          <w:p>
            <w:r>
              <w:t xml:space="preserve">2–3 each</w:t>
            </w:r>
          </w:p>
        </w:tc>
        <w:tc>
          <w:tcPr>
            <w:tcW w:type="dxa" w:w="2226"/>
            <w:tcMar>
              <w:top w:type="dxa" w:w="100"/>
              <w:left w:type="dxa" w:w="120"/>
              <w:bottom w:type="dxa" w:w="100"/>
              <w:right w:type="dxa" w:w="120"/>
            </w:tcMar>
            <w:vAlign w:val="center"/>
          </w:tcPr>
          <w:p>
            <w:r>
              <w:t xml:space="preserve">★★</w:t>
            </w:r>
          </w:p>
        </w:tc>
      </w:tr>
      <w:tr>
        <w:tc>
          <w:tcPr>
            <w:tcW w:type="dxa" w:w="5400"/>
            <w:tcMar>
              <w:top w:type="dxa" w:w="100"/>
              <w:left w:type="dxa" w:w="120"/>
              <w:bottom w:type="dxa" w:w="100"/>
              <w:right w:type="dxa" w:w="120"/>
            </w:tcMar>
            <w:vAlign w:val="center"/>
          </w:tcPr>
          <w:p>
            <w:r>
              <w:t xml:space="preserve">Impedance of a series </w:t>
            </w:r>
            <w:r>
              <w:rPr>
                <w:b/>
                <w:bCs/>
              </w:rPr>
              <w:t xml:space="preserve">LCR circuit</w:t>
            </w:r>
            <w:r>
              <w:t xml:space="preserve"> using a phasor diagram</w:t>
            </w:r>
          </w:p>
        </w:tc>
        <w:tc>
          <w:tcPr>
            <w:tcW w:type="dxa" w:w="1400"/>
            <w:tcMar>
              <w:top w:type="dxa" w:w="100"/>
              <w:left w:type="dxa" w:w="120"/>
              <w:bottom w:type="dxa" w:w="100"/>
              <w:right w:type="dxa" w:w="120"/>
            </w:tcMar>
            <w:vAlign w:val="center"/>
          </w:tcPr>
          <w:p>
            <w:r>
              <w:t xml:space="preserve">5</w:t>
            </w:r>
          </w:p>
        </w:tc>
        <w:tc>
          <w:tcPr>
            <w:tcW w:type="dxa" w:w="2226"/>
            <w:tcMar>
              <w:top w:type="dxa" w:w="100"/>
              <w:left w:type="dxa" w:w="120"/>
              <w:bottom w:type="dxa" w:w="100"/>
              <w:right w:type="dxa" w:w="120"/>
            </w:tcMar>
            <w:vAlign w:val="center"/>
          </w:tcPr>
          <w:p>
            <w:r>
              <w:t xml:space="preserve">★★★</w:t>
            </w:r>
          </w:p>
        </w:tc>
      </w:tr>
      <w:tr>
        <w:tc>
          <w:tcPr>
            <w:tcW w:type="dxa" w:w="5400"/>
            <w:tcMar>
              <w:top w:type="dxa" w:w="100"/>
              <w:left w:type="dxa" w:w="120"/>
              <w:bottom w:type="dxa" w:w="100"/>
              <w:right w:type="dxa" w:w="120"/>
            </w:tcMar>
            <w:vAlign w:val="center"/>
          </w:tcPr>
          <w:p>
            <w:r>
              <w:t xml:space="preserve">Resonance condition and resonant frequency of a series LCR circuit</w:t>
            </w:r>
          </w:p>
        </w:tc>
        <w:tc>
          <w:tcPr>
            <w:tcW w:type="dxa" w:w="1400"/>
            <w:tcMar>
              <w:top w:type="dxa" w:w="100"/>
              <w:left w:type="dxa" w:w="120"/>
              <w:bottom w:type="dxa" w:w="100"/>
              <w:right w:type="dxa" w:w="120"/>
            </w:tcMar>
            <w:vAlign w:val="center"/>
          </w:tcPr>
          <w:p>
            <w:r>
              <w:t xml:space="preserve">3</w:t>
            </w:r>
          </w:p>
        </w:tc>
        <w:tc>
          <w:tcPr>
            <w:tcW w:type="dxa" w:w="2226"/>
            <w:tcMar>
              <w:top w:type="dxa" w:w="100"/>
              <w:left w:type="dxa" w:w="120"/>
              <w:bottom w:type="dxa" w:w="100"/>
              <w:right w:type="dxa" w:w="120"/>
            </w:tcMar>
            <w:vAlign w:val="center"/>
          </w:tcPr>
          <w:p>
            <w:r>
              <w:t xml:space="preserve">★★</w:t>
            </w:r>
          </w:p>
        </w:tc>
      </w:tr>
      <w:tr>
        <w:tc>
          <w:tcPr>
            <w:tcW w:type="dxa" w:w="5400"/>
            <w:tcMar>
              <w:top w:type="dxa" w:w="100"/>
              <w:left w:type="dxa" w:w="120"/>
              <w:bottom w:type="dxa" w:w="100"/>
              <w:right w:type="dxa" w:w="120"/>
            </w:tcMar>
            <w:vAlign w:val="center"/>
          </w:tcPr>
          <w:p>
            <w:r>
              <w:t xml:space="preserve">Average power in an AC circuit; power factor</w:t>
            </w:r>
          </w:p>
        </w:tc>
        <w:tc>
          <w:tcPr>
            <w:tcW w:type="dxa" w:w="1400"/>
            <w:tcMar>
              <w:top w:type="dxa" w:w="100"/>
              <w:left w:type="dxa" w:w="120"/>
              <w:bottom w:type="dxa" w:w="100"/>
              <w:right w:type="dxa" w:w="120"/>
            </w:tcMar>
            <w:vAlign w:val="center"/>
          </w:tcPr>
          <w:p>
            <w:r>
              <w:t xml:space="preserve">2–3</w:t>
            </w:r>
          </w:p>
        </w:tc>
        <w:tc>
          <w:tcPr>
            <w:tcW w:type="dxa" w:w="2226"/>
            <w:tcMar>
              <w:top w:type="dxa" w:w="100"/>
              <w:left w:type="dxa" w:w="120"/>
              <w:bottom w:type="dxa" w:w="100"/>
              <w:right w:type="dxa" w:w="120"/>
            </w:tcMar>
            <w:vAlign w:val="center"/>
          </w:tcPr>
          <w:p>
            <w:r>
              <w:t xml:space="preserve">★★</w:t>
            </w:r>
          </w:p>
        </w:tc>
      </w:tr>
      <w:tr>
        <w:tc>
          <w:tcPr>
            <w:tcW w:type="dxa" w:w="5400"/>
            <w:tcMar>
              <w:top w:type="dxa" w:w="100"/>
              <w:left w:type="dxa" w:w="120"/>
              <w:bottom w:type="dxa" w:w="100"/>
              <w:right w:type="dxa" w:w="120"/>
            </w:tcMar>
            <w:vAlign w:val="center"/>
          </w:tcPr>
          <w:p>
            <w:r>
              <w:t xml:space="preserve">Working and EMF equation of a </w:t>
            </w:r>
            <w:r>
              <w:rPr>
                <w:b/>
                <w:bCs/>
              </w:rPr>
              <w:t xml:space="preserve">transformer</w:t>
            </w:r>
            <w:r>
              <w:t xml:space="preserve">; efficiency</w:t>
            </w:r>
          </w:p>
        </w:tc>
        <w:tc>
          <w:tcPr>
            <w:tcW w:type="dxa" w:w="1400"/>
            <w:tcMar>
              <w:top w:type="dxa" w:w="100"/>
              <w:left w:type="dxa" w:w="120"/>
              <w:bottom w:type="dxa" w:w="100"/>
              <w:right w:type="dxa" w:w="120"/>
            </w:tcMar>
            <w:vAlign w:val="center"/>
          </w:tcPr>
          <w:p>
            <w:r>
              <w:t xml:space="preserve">3</w:t>
            </w:r>
          </w:p>
        </w:tc>
        <w:tc>
          <w:tcPr>
            <w:tcW w:type="dxa" w:w="2226"/>
            <w:tcMar>
              <w:top w:type="dxa" w:w="100"/>
              <w:left w:type="dxa" w:w="120"/>
              <w:bottom w:type="dxa" w:w="100"/>
              <w:right w:type="dxa" w:w="120"/>
            </w:tcMar>
            <w:vAlign w:val="center"/>
          </w:tcPr>
          <w:p>
            <w:r>
              <w:t xml:space="preserve">★★</w:t>
            </w:r>
          </w:p>
        </w:tc>
      </w:tr>
    </w:tbl>
    <w:p>
      <w:pPr>
        <w:pStyle w:val="Heading2"/>
        <w:spacing w:after="160" w:before="360"/>
      </w:pPr>
      <w:r>
        <w:t xml:space="preserve">Unit 5 — Ray Optics &amp; Optical Instruments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400"/>
        <w:gridCol w:w="1400"/>
        <w:gridCol w:w="2226"/>
      </w:tblGrid>
      <w:tr>
        <w:trPr>
          <w:tblHeader/>
        </w:trPr>
        <w:tc>
          <w:tcPr>
            <w:tcW w:type="dxa" w:w="5400"/>
            <w:shd w:fill="DDE3EC" w:val="clear"/>
            <w:tcMar>
              <w:top w:type="dxa" w:w="100"/>
              <w:left w:type="dxa" w:w="120"/>
              <w:bottom w:type="dxa" w:w="100"/>
              <w:right w:type="dxa" w:w="120"/>
            </w:tcMar>
            <w:vAlign w:val="center"/>
          </w:tcPr>
          <w:p>
            <w:r>
              <w:rPr>
                <w:b/>
                <w:bCs/>
              </w:rPr>
              <w:t xml:space="preserve">Derivation</w:t>
            </w:r>
          </w:p>
        </w:tc>
        <w:tc>
          <w:tcPr>
            <w:tcW w:type="dxa" w:w="1400"/>
            <w:shd w:fill="DDE3EC" w:val="clear"/>
            <w:tcMar>
              <w:top w:type="dxa" w:w="100"/>
              <w:left w:type="dxa" w:w="120"/>
              <w:bottom w:type="dxa" w:w="100"/>
              <w:right w:type="dxa" w:w="120"/>
            </w:tcMar>
            <w:vAlign w:val="center"/>
          </w:tcPr>
          <w:p>
            <w:r>
              <w:rPr>
                <w:b/>
                <w:bCs/>
              </w:rPr>
              <w:t xml:space="preserve">Typical marks</w:t>
            </w:r>
          </w:p>
        </w:tc>
        <w:tc>
          <w:tcPr>
            <w:tcW w:type="dxa" w:w="2226"/>
            <w:shd w:fill="DDE3EC" w:val="clear"/>
            <w:tcMar>
              <w:top w:type="dxa" w:w="100"/>
              <w:left w:type="dxa" w:w="120"/>
              <w:bottom w:type="dxa" w:w="100"/>
              <w:right w:type="dxa" w:w="120"/>
            </w:tcMar>
            <w:vAlign w:val="center"/>
          </w:tcPr>
          <w:p>
            <w:r>
              <w:rPr>
                <w:b/>
                <w:bCs/>
              </w:rPr>
              <w:t xml:space="preserve">Frequency</w:t>
            </w:r>
          </w:p>
        </w:tc>
      </w:tr>
      <w:tr>
        <w:tc>
          <w:tcPr>
            <w:tcW w:type="dxa" w:w="5400"/>
            <w:tcMar>
              <w:top w:type="dxa" w:w="100"/>
              <w:left w:type="dxa" w:w="120"/>
              <w:bottom w:type="dxa" w:w="100"/>
              <w:right w:type="dxa" w:w="120"/>
            </w:tcMar>
            <w:vAlign w:val="center"/>
          </w:tcPr>
          <w:p>
            <w:r>
              <w:t xml:space="preserve">Mirror formula for a concave mirror (real image case)</w:t>
            </w:r>
          </w:p>
        </w:tc>
        <w:tc>
          <w:tcPr>
            <w:tcW w:type="dxa" w:w="1400"/>
            <w:tcMar>
              <w:top w:type="dxa" w:w="100"/>
              <w:left w:type="dxa" w:w="120"/>
              <w:bottom w:type="dxa" w:w="100"/>
              <w:right w:type="dxa" w:w="120"/>
            </w:tcMar>
            <w:vAlign w:val="center"/>
          </w:tcPr>
          <w:p>
            <w:r>
              <w:t xml:space="preserve">3</w:t>
            </w:r>
          </w:p>
        </w:tc>
        <w:tc>
          <w:tcPr>
            <w:tcW w:type="dxa" w:w="2226"/>
            <w:tcMar>
              <w:top w:type="dxa" w:w="100"/>
              <w:left w:type="dxa" w:w="120"/>
              <w:bottom w:type="dxa" w:w="100"/>
              <w:right w:type="dxa" w:w="120"/>
            </w:tcMar>
            <w:vAlign w:val="center"/>
          </w:tcPr>
          <w:p>
            <w:r>
              <w:t xml:space="preserve">★★</w:t>
            </w:r>
          </w:p>
        </w:tc>
      </w:tr>
      <w:tr>
        <w:tc>
          <w:tcPr>
            <w:tcW w:type="dxa" w:w="5400"/>
            <w:tcMar>
              <w:top w:type="dxa" w:w="100"/>
              <w:left w:type="dxa" w:w="120"/>
              <w:bottom w:type="dxa" w:w="100"/>
              <w:right w:type="dxa" w:w="120"/>
            </w:tcMar>
            <w:vAlign w:val="center"/>
          </w:tcPr>
          <w:p>
            <w:r>
              <w:t xml:space="preserve">Relation between </w:t>
            </w:r>
            <w:r>
              <w:rPr>
                <w:b/>
                <w:bCs/>
              </w:rPr>
              <w:t xml:space="preserve">critical angle and refractive index</w:t>
            </w:r>
            <w:r>
              <w:t xml:space="preserve"> for total internal reflection (n = 1/sin i_c)</w:t>
            </w:r>
          </w:p>
        </w:tc>
        <w:tc>
          <w:tcPr>
            <w:tcW w:type="dxa" w:w="1400"/>
            <w:tcMar>
              <w:top w:type="dxa" w:w="100"/>
              <w:left w:type="dxa" w:w="120"/>
              <w:bottom w:type="dxa" w:w="100"/>
              <w:right w:type="dxa" w:w="120"/>
            </w:tcMar>
            <w:vAlign w:val="center"/>
          </w:tcPr>
          <w:p>
            <w:r>
              <w:t xml:space="preserve">2</w:t>
            </w:r>
          </w:p>
        </w:tc>
        <w:tc>
          <w:tcPr>
            <w:tcW w:type="dxa" w:w="2226"/>
            <w:tcMar>
              <w:top w:type="dxa" w:w="100"/>
              <w:left w:type="dxa" w:w="120"/>
              <w:bottom w:type="dxa" w:w="100"/>
              <w:right w:type="dxa" w:w="120"/>
            </w:tcMar>
            <w:vAlign w:val="center"/>
          </w:tcPr>
          <w:p>
            <w:r>
              <w:t xml:space="preserve">★★</w:t>
            </w:r>
          </w:p>
        </w:tc>
      </w:tr>
      <w:tr>
        <w:tc>
          <w:tcPr>
            <w:tcW w:type="dxa" w:w="5400"/>
            <w:tcMar>
              <w:top w:type="dxa" w:w="100"/>
              <w:left w:type="dxa" w:w="120"/>
              <w:bottom w:type="dxa" w:w="100"/>
              <w:right w:type="dxa" w:w="120"/>
            </w:tcMar>
            <w:vAlign w:val="center"/>
          </w:tcPr>
          <w:p>
            <w:r>
              <w:t xml:space="preserve">Refraction at a single spherical surface — relation between u, v, R</w:t>
            </w:r>
          </w:p>
        </w:tc>
        <w:tc>
          <w:tcPr>
            <w:tcW w:type="dxa" w:w="1400"/>
            <w:tcMar>
              <w:top w:type="dxa" w:w="100"/>
              <w:left w:type="dxa" w:w="120"/>
              <w:bottom w:type="dxa" w:w="100"/>
              <w:right w:type="dxa" w:w="120"/>
            </w:tcMar>
            <w:vAlign w:val="center"/>
          </w:tcPr>
          <w:p>
            <w:r>
              <w:t xml:space="preserve">3–5</w:t>
            </w:r>
          </w:p>
        </w:tc>
        <w:tc>
          <w:tcPr>
            <w:tcW w:type="dxa" w:w="2226"/>
            <w:tcMar>
              <w:top w:type="dxa" w:w="100"/>
              <w:left w:type="dxa" w:w="120"/>
              <w:bottom w:type="dxa" w:w="100"/>
              <w:right w:type="dxa" w:w="120"/>
            </w:tcMar>
            <w:vAlign w:val="center"/>
          </w:tcPr>
          <w:p>
            <w:r>
              <w:t xml:space="preserve">★★★</w:t>
            </w:r>
          </w:p>
        </w:tc>
      </w:tr>
      <w:tr>
        <w:tc>
          <w:tcPr>
            <w:tcW w:type="dxa" w:w="5400"/>
            <w:tcMar>
              <w:top w:type="dxa" w:w="100"/>
              <w:left w:type="dxa" w:w="120"/>
              <w:bottom w:type="dxa" w:w="100"/>
              <w:right w:type="dxa" w:w="120"/>
            </w:tcMar>
            <w:vAlign w:val="center"/>
          </w:tcPr>
          <w:p>
            <w:r>
              <w:rPr>
                <w:b/>
                <w:bCs/>
              </w:rPr>
              <w:t xml:space="preserve">Lens maker's formula</w:t>
            </w:r>
          </w:p>
        </w:tc>
        <w:tc>
          <w:tcPr>
            <w:tcW w:type="dxa" w:w="1400"/>
            <w:tcMar>
              <w:top w:type="dxa" w:w="100"/>
              <w:left w:type="dxa" w:w="120"/>
              <w:bottom w:type="dxa" w:w="100"/>
              <w:right w:type="dxa" w:w="120"/>
            </w:tcMar>
            <w:vAlign w:val="center"/>
          </w:tcPr>
          <w:p>
            <w:r>
              <w:t xml:space="preserve">3–5</w:t>
            </w:r>
          </w:p>
        </w:tc>
        <w:tc>
          <w:tcPr>
            <w:tcW w:type="dxa" w:w="2226"/>
            <w:tcMar>
              <w:top w:type="dxa" w:w="100"/>
              <w:left w:type="dxa" w:w="120"/>
              <w:bottom w:type="dxa" w:w="100"/>
              <w:right w:type="dxa" w:w="120"/>
            </w:tcMar>
            <w:vAlign w:val="center"/>
          </w:tcPr>
          <w:p>
            <w:r>
              <w:t xml:space="preserve">★★★</w:t>
            </w:r>
          </w:p>
        </w:tc>
      </w:tr>
      <w:tr>
        <w:tc>
          <w:tcPr>
            <w:tcW w:type="dxa" w:w="5400"/>
            <w:tcMar>
              <w:top w:type="dxa" w:w="100"/>
              <w:left w:type="dxa" w:w="120"/>
              <w:bottom w:type="dxa" w:w="100"/>
              <w:right w:type="dxa" w:w="120"/>
            </w:tcMar>
            <w:vAlign w:val="center"/>
          </w:tcPr>
          <w:p>
            <w:r>
              <w:t xml:space="preserve">Thin lens formula (1/v − 1/u = 1/f)</w:t>
            </w:r>
          </w:p>
        </w:tc>
        <w:tc>
          <w:tcPr>
            <w:tcW w:type="dxa" w:w="1400"/>
            <w:tcMar>
              <w:top w:type="dxa" w:w="100"/>
              <w:left w:type="dxa" w:w="120"/>
              <w:bottom w:type="dxa" w:w="100"/>
              <w:right w:type="dxa" w:w="120"/>
            </w:tcMar>
            <w:vAlign w:val="center"/>
          </w:tcPr>
          <w:p>
            <w:r>
              <w:t xml:space="preserve">2–3</w:t>
            </w:r>
          </w:p>
        </w:tc>
        <w:tc>
          <w:tcPr>
            <w:tcW w:type="dxa" w:w="2226"/>
            <w:tcMar>
              <w:top w:type="dxa" w:w="100"/>
              <w:left w:type="dxa" w:w="120"/>
              <w:bottom w:type="dxa" w:w="100"/>
              <w:right w:type="dxa" w:w="120"/>
            </w:tcMar>
            <w:vAlign w:val="center"/>
          </w:tcPr>
          <w:p>
            <w:r>
              <w:t xml:space="preserve">★★</w:t>
            </w:r>
          </w:p>
        </w:tc>
      </w:tr>
      <w:tr>
        <w:tc>
          <w:tcPr>
            <w:tcW w:type="dxa" w:w="5400"/>
            <w:tcMar>
              <w:top w:type="dxa" w:w="100"/>
              <w:left w:type="dxa" w:w="120"/>
              <w:bottom w:type="dxa" w:w="100"/>
              <w:right w:type="dxa" w:w="120"/>
            </w:tcMar>
            <w:vAlign w:val="center"/>
          </w:tcPr>
          <w:p>
            <w:r>
              <w:t xml:space="preserve">Equivalent focal length/power of two thin lenses in contact</w:t>
            </w:r>
          </w:p>
        </w:tc>
        <w:tc>
          <w:tcPr>
            <w:tcW w:type="dxa" w:w="1400"/>
            <w:tcMar>
              <w:top w:type="dxa" w:w="100"/>
              <w:left w:type="dxa" w:w="120"/>
              <w:bottom w:type="dxa" w:w="100"/>
              <w:right w:type="dxa" w:w="120"/>
            </w:tcMar>
            <w:vAlign w:val="center"/>
          </w:tcPr>
          <w:p>
            <w:r>
              <w:t xml:space="preserve">2–3</w:t>
            </w:r>
          </w:p>
        </w:tc>
        <w:tc>
          <w:tcPr>
            <w:tcW w:type="dxa" w:w="2226"/>
            <w:tcMar>
              <w:top w:type="dxa" w:w="100"/>
              <w:left w:type="dxa" w:w="120"/>
              <w:bottom w:type="dxa" w:w="100"/>
              <w:right w:type="dxa" w:w="120"/>
            </w:tcMar>
            <w:vAlign w:val="center"/>
          </w:tcPr>
          <w:p>
            <w:r>
              <w:t xml:space="preserve">★★</w:t>
            </w:r>
          </w:p>
        </w:tc>
      </w:tr>
      <w:tr>
        <w:tc>
          <w:tcPr>
            <w:tcW w:type="dxa" w:w="5400"/>
            <w:tcMar>
              <w:top w:type="dxa" w:w="100"/>
              <w:left w:type="dxa" w:w="120"/>
              <w:bottom w:type="dxa" w:w="100"/>
              <w:right w:type="dxa" w:w="120"/>
            </w:tcMar>
            <w:vAlign w:val="center"/>
          </w:tcPr>
          <w:p>
            <w:r>
              <w:t xml:space="preserve">Refraction through a prism — i + e = A + δ, and n = sin[(A+D_m)/2] / sin(A/2)</w:t>
            </w:r>
          </w:p>
        </w:tc>
        <w:tc>
          <w:tcPr>
            <w:tcW w:type="dxa" w:w="1400"/>
            <w:tcMar>
              <w:top w:type="dxa" w:w="100"/>
              <w:left w:type="dxa" w:w="120"/>
              <w:bottom w:type="dxa" w:w="100"/>
              <w:right w:type="dxa" w:w="120"/>
            </w:tcMar>
            <w:vAlign w:val="center"/>
          </w:tcPr>
          <w:p>
            <w:r>
              <w:t xml:space="preserve">3–5</w:t>
            </w:r>
          </w:p>
        </w:tc>
        <w:tc>
          <w:tcPr>
            <w:tcW w:type="dxa" w:w="2226"/>
            <w:tcMar>
              <w:top w:type="dxa" w:w="100"/>
              <w:left w:type="dxa" w:w="120"/>
              <w:bottom w:type="dxa" w:w="100"/>
              <w:right w:type="dxa" w:w="120"/>
            </w:tcMar>
            <w:vAlign w:val="center"/>
          </w:tcPr>
          <w:p>
            <w:r>
              <w:t xml:space="preserve">★★★</w:t>
            </w:r>
          </w:p>
        </w:tc>
      </w:tr>
      <w:tr>
        <w:tc>
          <w:tcPr>
            <w:tcW w:type="dxa" w:w="5400"/>
            <w:tcMar>
              <w:top w:type="dxa" w:w="100"/>
              <w:left w:type="dxa" w:w="120"/>
              <w:bottom w:type="dxa" w:w="100"/>
              <w:right w:type="dxa" w:w="120"/>
            </w:tcMar>
            <w:vAlign w:val="center"/>
          </w:tcPr>
          <w:p>
            <w:r>
              <w:t xml:space="preserve">Magnifying power of a </w:t>
            </w:r>
            <w:r>
              <w:rPr>
                <w:b/>
                <w:bCs/>
              </w:rPr>
              <w:t xml:space="preserve">simple microscope</w:t>
            </w:r>
          </w:p>
        </w:tc>
        <w:tc>
          <w:tcPr>
            <w:tcW w:type="dxa" w:w="1400"/>
            <w:tcMar>
              <w:top w:type="dxa" w:w="100"/>
              <w:left w:type="dxa" w:w="120"/>
              <w:bottom w:type="dxa" w:w="100"/>
              <w:right w:type="dxa" w:w="120"/>
            </w:tcMar>
            <w:vAlign w:val="center"/>
          </w:tcPr>
          <w:p>
            <w:r>
              <w:t xml:space="preserve">2–3</w:t>
            </w:r>
          </w:p>
        </w:tc>
        <w:tc>
          <w:tcPr>
            <w:tcW w:type="dxa" w:w="2226"/>
            <w:tcMar>
              <w:top w:type="dxa" w:w="100"/>
              <w:left w:type="dxa" w:w="120"/>
              <w:bottom w:type="dxa" w:w="100"/>
              <w:right w:type="dxa" w:w="120"/>
            </w:tcMar>
            <w:vAlign w:val="center"/>
          </w:tcPr>
          <w:p>
            <w:r>
              <w:t xml:space="preserve">★★</w:t>
            </w:r>
          </w:p>
        </w:tc>
      </w:tr>
      <w:tr>
        <w:tc>
          <w:tcPr>
            <w:tcW w:type="dxa" w:w="5400"/>
            <w:tcMar>
              <w:top w:type="dxa" w:w="100"/>
              <w:left w:type="dxa" w:w="120"/>
              <w:bottom w:type="dxa" w:w="100"/>
              <w:right w:type="dxa" w:w="120"/>
            </w:tcMar>
            <w:vAlign w:val="center"/>
          </w:tcPr>
          <w:p>
            <w:r>
              <w:t xml:space="preserve">Magnifying power of a </w:t>
            </w:r>
            <w:r>
              <w:rPr>
                <w:b/>
                <w:bCs/>
              </w:rPr>
              <w:t xml:space="preserve">compound microscope</w:t>
            </w:r>
            <w:r>
              <w:t xml:space="preserve"> (normal adjustment)</w:t>
            </w:r>
          </w:p>
        </w:tc>
        <w:tc>
          <w:tcPr>
            <w:tcW w:type="dxa" w:w="1400"/>
            <w:tcMar>
              <w:top w:type="dxa" w:w="100"/>
              <w:left w:type="dxa" w:w="120"/>
              <w:bottom w:type="dxa" w:w="100"/>
              <w:right w:type="dxa" w:w="120"/>
            </w:tcMar>
            <w:vAlign w:val="center"/>
          </w:tcPr>
          <w:p>
            <w:r>
              <w:t xml:space="preserve">3–5</w:t>
            </w:r>
          </w:p>
        </w:tc>
        <w:tc>
          <w:tcPr>
            <w:tcW w:type="dxa" w:w="2226"/>
            <w:tcMar>
              <w:top w:type="dxa" w:w="100"/>
              <w:left w:type="dxa" w:w="120"/>
              <w:bottom w:type="dxa" w:w="100"/>
              <w:right w:type="dxa" w:w="120"/>
            </w:tcMar>
            <w:vAlign w:val="center"/>
          </w:tcPr>
          <w:p>
            <w:r>
              <w:t xml:space="preserve">★★★</w:t>
            </w:r>
          </w:p>
        </w:tc>
      </w:tr>
      <w:tr>
        <w:tc>
          <w:tcPr>
            <w:tcW w:type="dxa" w:w="5400"/>
            <w:tcMar>
              <w:top w:type="dxa" w:w="100"/>
              <w:left w:type="dxa" w:w="120"/>
              <w:bottom w:type="dxa" w:w="100"/>
              <w:right w:type="dxa" w:w="120"/>
            </w:tcMar>
            <w:vAlign w:val="center"/>
          </w:tcPr>
          <w:p>
            <w:r>
              <w:t xml:space="preserve">Magnifying power of an </w:t>
            </w:r>
            <w:r>
              <w:rPr>
                <w:b/>
                <w:bCs/>
              </w:rPr>
              <w:t xml:space="preserve">astronomical telescope</w:t>
            </w:r>
            <w:r>
              <w:t xml:space="preserve"> (normal adjustment)</w:t>
            </w:r>
          </w:p>
        </w:tc>
        <w:tc>
          <w:tcPr>
            <w:tcW w:type="dxa" w:w="1400"/>
            <w:tcMar>
              <w:top w:type="dxa" w:w="100"/>
              <w:left w:type="dxa" w:w="120"/>
              <w:bottom w:type="dxa" w:w="100"/>
              <w:right w:type="dxa" w:w="120"/>
            </w:tcMar>
            <w:vAlign w:val="center"/>
          </w:tcPr>
          <w:p>
            <w:r>
              <w:t xml:space="preserve">3–5</w:t>
            </w:r>
          </w:p>
        </w:tc>
        <w:tc>
          <w:tcPr>
            <w:tcW w:type="dxa" w:w="2226"/>
            <w:tcMar>
              <w:top w:type="dxa" w:w="100"/>
              <w:left w:type="dxa" w:w="120"/>
              <w:bottom w:type="dxa" w:w="100"/>
              <w:right w:type="dxa" w:w="120"/>
            </w:tcMar>
            <w:vAlign w:val="center"/>
          </w:tcPr>
          <w:p>
            <w:r>
              <w:t xml:space="preserve">★★★</w:t>
            </w:r>
          </w:p>
        </w:tc>
      </w:tr>
    </w:tbl>
    <w:p>
      <w:pPr>
        <w:pStyle w:val="Heading2"/>
        <w:spacing w:after="160" w:before="360"/>
      </w:pPr>
      <w:r>
        <w:t xml:space="preserve">Unit 6 — Wave Optics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400"/>
        <w:gridCol w:w="1400"/>
        <w:gridCol w:w="2226"/>
      </w:tblGrid>
      <w:tr>
        <w:trPr>
          <w:tblHeader/>
        </w:trPr>
        <w:tc>
          <w:tcPr>
            <w:tcW w:type="dxa" w:w="5400"/>
            <w:shd w:fill="DDE3EC" w:val="clear"/>
            <w:tcMar>
              <w:top w:type="dxa" w:w="100"/>
              <w:left w:type="dxa" w:w="120"/>
              <w:bottom w:type="dxa" w:w="100"/>
              <w:right w:type="dxa" w:w="120"/>
            </w:tcMar>
            <w:vAlign w:val="center"/>
          </w:tcPr>
          <w:p>
            <w:r>
              <w:rPr>
                <w:b/>
                <w:bCs/>
              </w:rPr>
              <w:t xml:space="preserve">Derivation</w:t>
            </w:r>
          </w:p>
        </w:tc>
        <w:tc>
          <w:tcPr>
            <w:tcW w:type="dxa" w:w="1400"/>
            <w:shd w:fill="DDE3EC" w:val="clear"/>
            <w:tcMar>
              <w:top w:type="dxa" w:w="100"/>
              <w:left w:type="dxa" w:w="120"/>
              <w:bottom w:type="dxa" w:w="100"/>
              <w:right w:type="dxa" w:w="120"/>
            </w:tcMar>
            <w:vAlign w:val="center"/>
          </w:tcPr>
          <w:p>
            <w:r>
              <w:rPr>
                <w:b/>
                <w:bCs/>
              </w:rPr>
              <w:t xml:space="preserve">Typical marks</w:t>
            </w:r>
          </w:p>
        </w:tc>
        <w:tc>
          <w:tcPr>
            <w:tcW w:type="dxa" w:w="2226"/>
            <w:shd w:fill="DDE3EC" w:val="clear"/>
            <w:tcMar>
              <w:top w:type="dxa" w:w="100"/>
              <w:left w:type="dxa" w:w="120"/>
              <w:bottom w:type="dxa" w:w="100"/>
              <w:right w:type="dxa" w:w="120"/>
            </w:tcMar>
            <w:vAlign w:val="center"/>
          </w:tcPr>
          <w:p>
            <w:r>
              <w:rPr>
                <w:b/>
                <w:bCs/>
              </w:rPr>
              <w:t xml:space="preserve">Frequency</w:t>
            </w:r>
          </w:p>
        </w:tc>
      </w:tr>
      <w:tr>
        <w:tc>
          <w:tcPr>
            <w:tcW w:type="dxa" w:w="5400"/>
            <w:tcMar>
              <w:top w:type="dxa" w:w="100"/>
              <w:left w:type="dxa" w:w="120"/>
              <w:bottom w:type="dxa" w:w="100"/>
              <w:right w:type="dxa" w:w="120"/>
            </w:tcMar>
            <w:vAlign w:val="center"/>
          </w:tcPr>
          <w:p>
            <w:r>
              <w:rPr>
                <w:b/>
                <w:bCs/>
              </w:rPr>
              <w:t xml:space="preserve">Proof of the laws of reflection and refraction using Huygens' principle</w:t>
            </w:r>
          </w:p>
        </w:tc>
        <w:tc>
          <w:tcPr>
            <w:tcW w:type="dxa" w:w="1400"/>
            <w:tcMar>
              <w:top w:type="dxa" w:w="100"/>
              <w:left w:type="dxa" w:w="120"/>
              <w:bottom w:type="dxa" w:w="100"/>
              <w:right w:type="dxa" w:w="120"/>
            </w:tcMar>
            <w:vAlign w:val="center"/>
          </w:tcPr>
          <w:p>
            <w:r>
              <w:t xml:space="preserve">3</w:t>
            </w:r>
          </w:p>
        </w:tc>
        <w:tc>
          <w:tcPr>
            <w:tcW w:type="dxa" w:w="2226"/>
            <w:tcMar>
              <w:top w:type="dxa" w:w="100"/>
              <w:left w:type="dxa" w:w="120"/>
              <w:bottom w:type="dxa" w:w="100"/>
              <w:right w:type="dxa" w:w="120"/>
            </w:tcMar>
            <w:vAlign w:val="center"/>
          </w:tcPr>
          <w:p>
            <w:r>
              <w:t xml:space="preserve">★★★</w:t>
            </w:r>
          </w:p>
        </w:tc>
      </w:tr>
      <w:tr>
        <w:tc>
          <w:tcPr>
            <w:tcW w:type="dxa" w:w="5400"/>
            <w:tcMar>
              <w:top w:type="dxa" w:w="100"/>
              <w:left w:type="dxa" w:w="120"/>
              <w:bottom w:type="dxa" w:w="100"/>
              <w:right w:type="dxa" w:w="120"/>
            </w:tcMar>
            <w:vAlign w:val="center"/>
          </w:tcPr>
          <w:p>
            <w:r>
              <w:t xml:space="preserve">Conditions for constructive and destructive interference (path difference)</w:t>
            </w:r>
          </w:p>
        </w:tc>
        <w:tc>
          <w:tcPr>
            <w:tcW w:type="dxa" w:w="1400"/>
            <w:tcMar>
              <w:top w:type="dxa" w:w="100"/>
              <w:left w:type="dxa" w:w="120"/>
              <w:bottom w:type="dxa" w:w="100"/>
              <w:right w:type="dxa" w:w="120"/>
            </w:tcMar>
            <w:vAlign w:val="center"/>
          </w:tcPr>
          <w:p>
            <w:r>
              <w:t xml:space="preserve">2–3</w:t>
            </w:r>
          </w:p>
        </w:tc>
        <w:tc>
          <w:tcPr>
            <w:tcW w:type="dxa" w:w="2226"/>
            <w:tcMar>
              <w:top w:type="dxa" w:w="100"/>
              <w:left w:type="dxa" w:w="120"/>
              <w:bottom w:type="dxa" w:w="100"/>
              <w:right w:type="dxa" w:w="120"/>
            </w:tcMar>
            <w:vAlign w:val="center"/>
          </w:tcPr>
          <w:p>
            <w:r>
              <w:t xml:space="preserve">★★★</w:t>
            </w:r>
          </w:p>
        </w:tc>
      </w:tr>
    </w:tbl>
    <w:p>
      <w:pPr>
        <w:spacing w:after="240" w:before="80"/>
        <w:ind w:left="180"/>
      </w:pPr>
      <w:r>
        <w:rPr>
          <w:b/>
          <w:bCs/>
        </w:rPr>
        <w:t xml:space="preserve">Formula only:</w:t>
      </w:r>
      <w:r>
        <w:t xml:space="preserve"> Young's double-slit fringe width, β = λD/d. The syllabus explicitly says "expression for fringe width (no derivation, final expression only)" — know what each symbol means and be able to apply it, don't derive it.</w:t>
      </w:r>
    </w:p>
    <w:p>
      <w:pPr>
        <w:spacing w:after="240" w:before="80"/>
        <w:ind w:left="180"/>
      </w:pPr>
      <w:r>
        <w:rPr>
          <w:b/>
          <w:bCs/>
        </w:rPr>
        <w:t xml:space="preserve">Qualitative only:</w:t>
      </w:r>
      <w:r>
        <w:t xml:space="preserve"> single-slit diffraction (the pattern, and why the central maximum is twice as wide as the secondary ones) — a mathematical derivation of the fringe/angular width is not expected, only the qualitative explanation.</w:t>
      </w:r>
    </w:p>
    <w:p>
      <w:pPr>
        <w:pStyle w:val="Heading2"/>
        <w:spacing w:after="160" w:before="360"/>
      </w:pPr>
      <w:r>
        <w:t xml:space="preserve">Unit 7 — Dual Nature of Radiation and Matter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400"/>
        <w:gridCol w:w="1400"/>
        <w:gridCol w:w="2226"/>
      </w:tblGrid>
      <w:tr>
        <w:trPr>
          <w:tblHeader/>
        </w:trPr>
        <w:tc>
          <w:tcPr>
            <w:tcW w:type="dxa" w:w="5400"/>
            <w:shd w:fill="DDE3EC" w:val="clear"/>
            <w:tcMar>
              <w:top w:type="dxa" w:w="100"/>
              <w:left w:type="dxa" w:w="120"/>
              <w:bottom w:type="dxa" w:w="100"/>
              <w:right w:type="dxa" w:w="120"/>
            </w:tcMar>
            <w:vAlign w:val="center"/>
          </w:tcPr>
          <w:p>
            <w:r>
              <w:rPr>
                <w:b/>
                <w:bCs/>
              </w:rPr>
              <w:t xml:space="preserve">Derivation</w:t>
            </w:r>
          </w:p>
        </w:tc>
        <w:tc>
          <w:tcPr>
            <w:tcW w:type="dxa" w:w="1400"/>
            <w:shd w:fill="DDE3EC" w:val="clear"/>
            <w:tcMar>
              <w:top w:type="dxa" w:w="100"/>
              <w:left w:type="dxa" w:w="120"/>
              <w:bottom w:type="dxa" w:w="100"/>
              <w:right w:type="dxa" w:w="120"/>
            </w:tcMar>
            <w:vAlign w:val="center"/>
          </w:tcPr>
          <w:p>
            <w:r>
              <w:rPr>
                <w:b/>
                <w:bCs/>
              </w:rPr>
              <w:t xml:space="preserve">Typical marks</w:t>
            </w:r>
          </w:p>
        </w:tc>
        <w:tc>
          <w:tcPr>
            <w:tcW w:type="dxa" w:w="2226"/>
            <w:shd w:fill="DDE3EC" w:val="clear"/>
            <w:tcMar>
              <w:top w:type="dxa" w:w="100"/>
              <w:left w:type="dxa" w:w="120"/>
              <w:bottom w:type="dxa" w:w="100"/>
              <w:right w:type="dxa" w:w="120"/>
            </w:tcMar>
            <w:vAlign w:val="center"/>
          </w:tcPr>
          <w:p>
            <w:r>
              <w:rPr>
                <w:b/>
                <w:bCs/>
              </w:rPr>
              <w:t xml:space="preserve">Frequency</w:t>
            </w:r>
          </w:p>
        </w:tc>
      </w:tr>
      <w:tr>
        <w:tc>
          <w:tcPr>
            <w:tcW w:type="dxa" w:w="5400"/>
            <w:tcMar>
              <w:top w:type="dxa" w:w="100"/>
              <w:left w:type="dxa" w:w="120"/>
              <w:bottom w:type="dxa" w:w="100"/>
              <w:right w:type="dxa" w:w="120"/>
            </w:tcMar>
            <w:vAlign w:val="center"/>
          </w:tcPr>
          <w:p>
            <w:r>
              <w:rPr>
                <w:b/>
                <w:bCs/>
              </w:rPr>
              <w:t xml:space="preserve">Einstein's photoelectric equation</w:t>
            </w:r>
          </w:p>
        </w:tc>
        <w:tc>
          <w:tcPr>
            <w:tcW w:type="dxa" w:w="1400"/>
            <w:tcMar>
              <w:top w:type="dxa" w:w="100"/>
              <w:left w:type="dxa" w:w="120"/>
              <w:bottom w:type="dxa" w:w="100"/>
              <w:right w:type="dxa" w:w="120"/>
            </w:tcMar>
            <w:vAlign w:val="center"/>
          </w:tcPr>
          <w:p>
            <w:r>
              <w:t xml:space="preserve">3</w:t>
            </w:r>
          </w:p>
        </w:tc>
        <w:tc>
          <w:tcPr>
            <w:tcW w:type="dxa" w:w="2226"/>
            <w:tcMar>
              <w:top w:type="dxa" w:w="100"/>
              <w:left w:type="dxa" w:w="120"/>
              <w:bottom w:type="dxa" w:w="100"/>
              <w:right w:type="dxa" w:w="120"/>
            </w:tcMar>
            <w:vAlign w:val="center"/>
          </w:tcPr>
          <w:p>
            <w:r>
              <w:t xml:space="preserve">★★★</w:t>
            </w:r>
          </w:p>
        </w:tc>
      </w:tr>
      <w:tr>
        <w:tc>
          <w:tcPr>
            <w:tcW w:type="dxa" w:w="5400"/>
            <w:tcMar>
              <w:top w:type="dxa" w:w="100"/>
              <w:left w:type="dxa" w:w="120"/>
              <w:bottom w:type="dxa" w:w="100"/>
              <w:right w:type="dxa" w:w="120"/>
            </w:tcMar>
            <w:vAlign w:val="center"/>
          </w:tcPr>
          <w:p>
            <w:r>
              <w:rPr>
                <w:b/>
                <w:bCs/>
              </w:rPr>
              <w:t xml:space="preserve">de Broglie wavelength</w:t>
            </w:r>
            <w:r>
              <w:t xml:space="preserve"> of a moving particle</w:t>
            </w:r>
          </w:p>
        </w:tc>
        <w:tc>
          <w:tcPr>
            <w:tcW w:type="dxa" w:w="1400"/>
            <w:tcMar>
              <w:top w:type="dxa" w:w="100"/>
              <w:left w:type="dxa" w:w="120"/>
              <w:bottom w:type="dxa" w:w="100"/>
              <w:right w:type="dxa" w:w="120"/>
            </w:tcMar>
            <w:vAlign w:val="center"/>
          </w:tcPr>
          <w:p>
            <w:r>
              <w:t xml:space="preserve">2–3</w:t>
            </w:r>
          </w:p>
        </w:tc>
        <w:tc>
          <w:tcPr>
            <w:tcW w:type="dxa" w:w="2226"/>
            <w:tcMar>
              <w:top w:type="dxa" w:w="100"/>
              <w:left w:type="dxa" w:w="120"/>
              <w:bottom w:type="dxa" w:w="100"/>
              <w:right w:type="dxa" w:w="120"/>
            </w:tcMar>
            <w:vAlign w:val="center"/>
          </w:tcPr>
          <w:p>
            <w:r>
              <w:t xml:space="preserve">★★★</w:t>
            </w:r>
          </w:p>
        </w:tc>
      </w:tr>
    </w:tbl>
    <w:p>
      <w:pPr>
        <w:pStyle w:val="Heading2"/>
        <w:spacing w:after="160" w:before="360"/>
      </w:pPr>
      <w:r>
        <w:t xml:space="preserve">Unit 8 — Atoms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400"/>
        <w:gridCol w:w="1400"/>
        <w:gridCol w:w="2226"/>
      </w:tblGrid>
      <w:tr>
        <w:trPr>
          <w:tblHeader/>
        </w:trPr>
        <w:tc>
          <w:tcPr>
            <w:tcW w:type="dxa" w:w="5400"/>
            <w:shd w:fill="DDE3EC" w:val="clear"/>
            <w:tcMar>
              <w:top w:type="dxa" w:w="100"/>
              <w:left w:type="dxa" w:w="120"/>
              <w:bottom w:type="dxa" w:w="100"/>
              <w:right w:type="dxa" w:w="120"/>
            </w:tcMar>
            <w:vAlign w:val="center"/>
          </w:tcPr>
          <w:p>
            <w:r>
              <w:rPr>
                <w:b/>
                <w:bCs/>
              </w:rPr>
              <w:t xml:space="preserve">Derivation</w:t>
            </w:r>
          </w:p>
        </w:tc>
        <w:tc>
          <w:tcPr>
            <w:tcW w:type="dxa" w:w="1400"/>
            <w:shd w:fill="DDE3EC" w:val="clear"/>
            <w:tcMar>
              <w:top w:type="dxa" w:w="100"/>
              <w:left w:type="dxa" w:w="120"/>
              <w:bottom w:type="dxa" w:w="100"/>
              <w:right w:type="dxa" w:w="120"/>
            </w:tcMar>
            <w:vAlign w:val="center"/>
          </w:tcPr>
          <w:p>
            <w:r>
              <w:rPr>
                <w:b/>
                <w:bCs/>
              </w:rPr>
              <w:t xml:space="preserve">Typical marks</w:t>
            </w:r>
          </w:p>
        </w:tc>
        <w:tc>
          <w:tcPr>
            <w:tcW w:type="dxa" w:w="2226"/>
            <w:shd w:fill="DDE3EC" w:val="clear"/>
            <w:tcMar>
              <w:top w:type="dxa" w:w="100"/>
              <w:left w:type="dxa" w:w="120"/>
              <w:bottom w:type="dxa" w:w="100"/>
              <w:right w:type="dxa" w:w="120"/>
            </w:tcMar>
            <w:vAlign w:val="center"/>
          </w:tcPr>
          <w:p>
            <w:r>
              <w:rPr>
                <w:b/>
                <w:bCs/>
              </w:rPr>
              <w:t xml:space="preserve">Frequency</w:t>
            </w:r>
          </w:p>
        </w:tc>
      </w:tr>
      <w:tr>
        <w:tc>
          <w:tcPr>
            <w:tcW w:type="dxa" w:w="5400"/>
            <w:tcMar>
              <w:top w:type="dxa" w:w="100"/>
              <w:left w:type="dxa" w:w="120"/>
              <w:bottom w:type="dxa" w:w="100"/>
              <w:right w:type="dxa" w:w="120"/>
            </w:tcMar>
            <w:vAlign w:val="center"/>
          </w:tcPr>
          <w:p>
            <w:r>
              <w:t xml:space="preserve">Bohr's postulates → </w:t>
            </w:r>
            <w:r>
              <w:rPr>
                <w:b/>
                <w:bCs/>
              </w:rPr>
              <w:t xml:space="preserve">radius of the nth orbit</w:t>
            </w:r>
            <w:r>
              <w:t xml:space="preserve"> of the hydrogen atom</w:t>
            </w:r>
          </w:p>
        </w:tc>
        <w:tc>
          <w:tcPr>
            <w:tcW w:type="dxa" w:w="1400"/>
            <w:tcMar>
              <w:top w:type="dxa" w:w="100"/>
              <w:left w:type="dxa" w:w="120"/>
              <w:bottom w:type="dxa" w:w="100"/>
              <w:right w:type="dxa" w:w="120"/>
            </w:tcMar>
            <w:vAlign w:val="center"/>
          </w:tcPr>
          <w:p>
            <w:r>
              <w:t xml:space="preserve">3–5</w:t>
            </w:r>
          </w:p>
        </w:tc>
        <w:tc>
          <w:tcPr>
            <w:tcW w:type="dxa" w:w="2226"/>
            <w:tcMar>
              <w:top w:type="dxa" w:w="100"/>
              <w:left w:type="dxa" w:w="120"/>
              <w:bottom w:type="dxa" w:w="100"/>
              <w:right w:type="dxa" w:w="120"/>
            </w:tcMar>
            <w:vAlign w:val="center"/>
          </w:tcPr>
          <w:p>
            <w:r>
              <w:t xml:space="preserve">★★★</w:t>
            </w:r>
          </w:p>
        </w:tc>
      </w:tr>
      <w:tr>
        <w:tc>
          <w:tcPr>
            <w:tcW w:type="dxa" w:w="5400"/>
            <w:tcMar>
              <w:top w:type="dxa" w:w="100"/>
              <w:left w:type="dxa" w:w="120"/>
              <w:bottom w:type="dxa" w:w="100"/>
              <w:right w:type="dxa" w:w="120"/>
            </w:tcMar>
            <w:vAlign w:val="center"/>
          </w:tcPr>
          <w:p>
            <w:r>
              <w:t xml:space="preserve">Bohr's model → velocity of the electron in the nth orbit</w:t>
            </w:r>
          </w:p>
        </w:tc>
        <w:tc>
          <w:tcPr>
            <w:tcW w:type="dxa" w:w="1400"/>
            <w:tcMar>
              <w:top w:type="dxa" w:w="100"/>
              <w:left w:type="dxa" w:w="120"/>
              <w:bottom w:type="dxa" w:w="100"/>
              <w:right w:type="dxa" w:w="120"/>
            </w:tcMar>
            <w:vAlign w:val="center"/>
          </w:tcPr>
          <w:p>
            <w:r>
              <w:t xml:space="preserve">2–3</w:t>
            </w:r>
          </w:p>
        </w:tc>
        <w:tc>
          <w:tcPr>
            <w:tcW w:type="dxa" w:w="2226"/>
            <w:tcMar>
              <w:top w:type="dxa" w:w="100"/>
              <w:left w:type="dxa" w:w="120"/>
              <w:bottom w:type="dxa" w:w="100"/>
              <w:right w:type="dxa" w:w="120"/>
            </w:tcMar>
            <w:vAlign w:val="center"/>
          </w:tcPr>
          <w:p>
            <w:r>
              <w:t xml:space="preserve">★★</w:t>
            </w:r>
          </w:p>
        </w:tc>
      </w:tr>
      <w:tr>
        <w:tc>
          <w:tcPr>
            <w:tcW w:type="dxa" w:w="5400"/>
            <w:tcMar>
              <w:top w:type="dxa" w:w="100"/>
              <w:left w:type="dxa" w:w="120"/>
              <w:bottom w:type="dxa" w:w="100"/>
              <w:right w:type="dxa" w:w="120"/>
            </w:tcMar>
            <w:vAlign w:val="center"/>
          </w:tcPr>
          <w:p>
            <w:r>
              <w:t xml:space="preserve">Bohr's model → </w:t>
            </w:r>
            <w:r>
              <w:rPr>
                <w:b/>
                <w:bCs/>
              </w:rPr>
              <w:t xml:space="preserve">total energy of the electron</w:t>
            </w:r>
            <w:r>
              <w:t xml:space="preserve"> in the nth orbit</w:t>
            </w:r>
          </w:p>
        </w:tc>
        <w:tc>
          <w:tcPr>
            <w:tcW w:type="dxa" w:w="1400"/>
            <w:tcMar>
              <w:top w:type="dxa" w:w="100"/>
              <w:left w:type="dxa" w:w="120"/>
              <w:bottom w:type="dxa" w:w="100"/>
              <w:right w:type="dxa" w:w="120"/>
            </w:tcMar>
            <w:vAlign w:val="center"/>
          </w:tcPr>
          <w:p>
            <w:r>
              <w:t xml:space="preserve">3–5</w:t>
            </w:r>
          </w:p>
        </w:tc>
        <w:tc>
          <w:tcPr>
            <w:tcW w:type="dxa" w:w="2226"/>
            <w:tcMar>
              <w:top w:type="dxa" w:w="100"/>
              <w:left w:type="dxa" w:w="120"/>
              <w:bottom w:type="dxa" w:w="100"/>
              <w:right w:type="dxa" w:w="120"/>
            </w:tcMar>
            <w:vAlign w:val="center"/>
          </w:tcPr>
          <w:p>
            <w:r>
              <w:t xml:space="preserve">★★★</w:t>
            </w:r>
          </w:p>
        </w:tc>
      </w:tr>
    </w:tbl>
    <w:p>
      <w:pPr>
        <w:spacing w:after="240" w:before="80"/>
        <w:ind w:left="180"/>
      </w:pPr>
      <w:r>
        <w:rPr>
          <w:b/>
          <w:bCs/>
        </w:rPr>
        <w:t xml:space="preserve">Qualitative only:</w:t>
      </w:r>
      <w:r>
        <w:t xml:space="preserve"> the hydrogen line spectra (Lyman, Balmer, Paschen series, etc.) and the Rydberg formula are listed as qualitative treatment only — know the series and what the formula predicts, but a derivation of the formula itself isn't expected.</w:t>
      </w:r>
    </w:p>
    <w:p>
      <w:pPr>
        <w:pStyle w:val="Heading2"/>
        <w:spacing w:after="160" w:before="360"/>
      </w:pPr>
      <w:r>
        <w:t xml:space="preserve">Unit 9 — Nuclei</w:t>
      </w:r>
    </w:p>
    <w:p>
      <w:pPr>
        <w:spacing w:after="200"/>
      </w:pPr>
      <w:r>
        <w:t xml:space="preserve">No standalone derivations in the current syllabus. Chapter 13 (Nuclei) now covers only the composition and size of the nucleus, nuclear forces, mass defect, the binding-energy-per-nucleon curve, and fission/fusion — all conceptual, not derivation-based. The radioactivity topic (decay law N = N₀e^(−λt), half-life, and mean life) has been </w:t>
      </w:r>
      <w:r>
        <w:rPr>
          <w:b/>
          <w:bCs/>
        </w:rPr>
        <w:t xml:space="preserve">removed from the syllabus entirely</w:t>
      </w:r>
      <w:r>
        <w:t xml:space="preserve"> and should not be prepared as a derivation, or at all, unless your school's internal notes say otherwise.</w:t>
      </w:r>
    </w:p>
    <w:p>
      <w:pPr>
        <w:pStyle w:val="Heading2"/>
        <w:spacing w:after="160" w:before="360"/>
      </w:pPr>
      <w:r>
        <w:t xml:space="preserve">Unit 10 — Semiconductor Electronics</w:t>
      </w:r>
    </w:p>
    <w:p>
      <w:pPr>
        <w:spacing w:after="200"/>
      </w:pPr>
      <w:r>
        <w:t xml:space="preserve">Mostly conceptual in the current syllabus (V–I characteristics, working principles, logic gates) — no major standalone derivations are typically asked from this unit, unlike Units 1–9 above.</w:t>
      </w:r>
    </w:p>
    <w:p>
      <w:pPr>
        <w:pStyle w:val="Heading2"/>
        <w:spacing w:after="160" w:before="360"/>
      </w:pPr>
      <w:r>
        <w:t xml:space="preserve">How to use this list</w:t>
      </w:r>
    </w:p>
    <w:p>
      <w:pPr>
        <w:spacing w:after="140"/>
        <w:ind w:left="360"/>
      </w:pPr>
      <w:r>
        <w:t xml:space="preserve">1. </w:t>
      </w:r>
      <w:r>
        <w:t xml:space="preserve">Go unit by unit. For each derivation, close the book and try to produce it from the starting principle (Coulomb's law, Gauss's law, Biot–Savart law, Snell's law, Bohr's postulates, etc.) through to the final result, with the diagram.</w:t>
      </w:r>
    </w:p>
    <w:p>
      <w:pPr>
        <w:spacing w:after="140"/>
        <w:ind w:left="360"/>
      </w:pPr>
      <w:r>
        <w:t xml:space="preserve">2. </w:t>
      </w:r>
      <w:r>
        <w:t xml:space="preserve">Mark anything you couldn't do cleanly — those go on a short list for a second pass closer to the exam.</w:t>
      </w:r>
    </w:p>
    <w:p>
      <w:pPr>
        <w:spacing w:after="140"/>
        <w:ind w:left="360"/>
      </w:pPr>
      <w:r>
        <w:t xml:space="preserve">3. </w:t>
      </w:r>
      <w:r>
        <w:t xml:space="preserve">The ★★★ items are worth over-preparing: they show up almost every year, sometimes as the derivation itself, sometimes as a numerical built on top of it.</w:t>
      </w:r>
    </w:p>
    <w:p>
      <w:pPr>
        <w:spacing w:after="140"/>
        <w:ind w:left="360"/>
      </w:pPr>
      <w:r>
        <w:t xml:space="preserve">4. </w:t>
      </w:r>
      <w:r>
        <w:t xml:space="preserve">Board papers often ask you to derive, then apply (e.g. derive the lens maker's formula, then use it in a numerical) — so pair each derivation with a couple of numericals on the same formula while revising.</w:t>
      </w:r>
    </w:p>
    <w:p>
      <w:pPr>
        <w:spacing w:before="240"/>
      </w:pPr>
      <w:r>
        <w:rPr>
          <w:i/>
          <w:iCs/>
        </w:rPr>
        <w:t xml:space="preserve">Sources consulted for frequency/scope: </w:t>
      </w:r>
      <w:r>
        <w:rPr>
          <w:i/>
          <w:iCs/>
        </w:rPr>
        <w:t xml:space="preserve">recent-year CBSE sample papers and previous-year question papers, and the current rationalised CBSE Class 12 Physics syllabus (cbseacademic.nic.in) — including its exact wording on which items are formula-only or qualitative-only, which is why those are now called out separately rather than listed as derivations.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2026-10-07T06:04:52.897Z</dcterms:created>
  <dcterms:modified xsi:type="dcterms:W3CDTF">2026-10-07T06:04:52.920Z</dcterms:modified>
</cp:coreProperties>
</file>

<file path=docProps/custom.xml><?xml version="1.0" encoding="utf-8"?>
<Properties xmlns="http://schemas.openxmlformats.org/officeDocument/2006/custom-properties" xmlns:vt="http://schemas.openxmlformats.org/officeDocument/2006/docPropsVTypes"/>
</file>