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pPr>
      <w:r>
        <w:t xml:space="preserve">CBSE Class 12 Physics — Important Derivations</w:t>
      </w:r>
    </w:p>
    <w:p>
      <w:pPr>
        <w:spacing w:after="200"/>
      </w:pPr>
      <w:r>
        <w:t xml:space="preserve">A chapter-wise checklist of the derivations most likely to appear in the CBSE Class 12 Physics board exam — the ones that repeat, year after year, as 2-mark, 3-mark, or 5-mark questions. This is a </w:t>
      </w:r>
      <w:r>
        <w:rPr>
          <w:b/>
          <w:bCs/>
        </w:rPr>
        <w:t xml:space="preserve">list to work through</w:t>
      </w:r>
      <w:r>
        <w:t xml:space="preserve">, not the derivations themselves — the idea is to use it as a revision tracker: can you reproduce each one on paper, from the starting principle, without looking it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EF2F7" w:val="clear"/>
            <w:tcMar>
              <w:top w:type="dxa" w:w="160"/>
              <w:left w:type="dxa" w:w="180"/>
              <w:bottom w:type="dxa" w:w="160"/>
              <w:right w:type="dxa" w:w="180"/>
            </w:tcMar>
          </w:tcPr>
          <w:p>
            <w:r>
              <w:rPr>
                <w:b/>
                <w:bCs/>
              </w:rPr>
              <w:t xml:space="preserve">Note on currency: </w:t>
            </w:r>
            <w:r>
              <w:t xml:space="preserve">CBSE revises (rationalises) the Physics syllabus most years, and has dropped several derivations in recent cycles — Cyclotron, Velocity Selector, the Toroid, the magnetic dipole moment of a revolving electron, Earth's Magnetism, Eddy Currents, and Brewster's Law are </w:t>
            </w:r>
            <w:r>
              <w:rPr>
                <w:b/>
                <w:bCs/>
              </w:rPr>
              <w:t xml:space="preserve">not</w:t>
            </w:r>
            <w:r>
              <w:t xml:space="preserve"> in this list because they were removed from the syllabus in past rationalisations. Cross-check against the current year's official CBSE curriculum (cbseacademic.nic.in) before finalising a revision plan, since the exact deleted/restored list can shift year to year.</w:t>
            </w:r>
          </w:p>
        </w:tc>
      </w:tr>
    </w:tbl>
    <w:p>
      <w:pPr>
        <w:spacing w:after="160"/>
      </w:pPr>
    </w:p>
    <w:p>
      <w:pPr>
        <w:pBdr>
          <w:bottom w:val="single" w:color="AAAAAA" w:sz="6" w:space="8"/>
        </w:pBdr>
        <w:spacing w:after="200"/>
      </w:pPr>
      <w:r>
        <w:t xml:space="preserve">Frequency key: ★★★ = asked almost every year, in some form · ★★ = asked frequently · ★ = asked occasionally, still worth knowing.</w:t>
      </w:r>
    </w:p>
    <w:p>
      <w:pPr>
        <w:pStyle w:val="Heading2"/>
        <w:spacing w:after="160" w:before="360"/>
      </w:pPr>
      <w:r>
        <w:t xml:space="preserve">Unit 1 — Electrostatics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1400"/>
        <w:gridCol w:w="2226"/>
      </w:tblGrid>
      <w:tr>
        <w:trPr>
          <w:tblHeader/>
        </w:trPr>
        <w:tc>
          <w:tcPr>
            <w:tcW w:type="dxa" w:w="5400"/>
            <w:shd w:fill="DDE3EC" w:val="clear"/>
            <w:tcMar>
              <w:top w:type="dxa" w:w="100"/>
              <w:left w:type="dxa" w:w="120"/>
              <w:bottom w:type="dxa" w:w="100"/>
              <w:right w:type="dxa" w:w="120"/>
            </w:tcMar>
            <w:vAlign w:val="center"/>
          </w:tcPr>
          <w:p>
            <w:r>
              <w:rPr>
                <w:b/>
                <w:bCs/>
              </w:rPr>
              <w:t xml:space="preserve">Derivation</w:t>
            </w:r>
          </w:p>
        </w:tc>
        <w:tc>
          <w:tcPr>
            <w:tcW w:type="dxa" w:w="1400"/>
            <w:shd w:fill="DDE3EC" w:val="clear"/>
            <w:tcMar>
              <w:top w:type="dxa" w:w="100"/>
              <w:left w:type="dxa" w:w="120"/>
              <w:bottom w:type="dxa" w:w="100"/>
              <w:right w:type="dxa" w:w="120"/>
            </w:tcMar>
            <w:vAlign w:val="center"/>
          </w:tcPr>
          <w:p>
            <w:r>
              <w:rPr>
                <w:b/>
                <w:bCs/>
              </w:rPr>
              <w:t xml:space="preserve">Typical marks</w:t>
            </w:r>
          </w:p>
        </w:tc>
        <w:tc>
          <w:tcPr>
            <w:tcW w:type="dxa" w:w="2226"/>
            <w:shd w:fill="DDE3EC" w:val="clear"/>
            <w:tcMar>
              <w:top w:type="dxa" w:w="100"/>
              <w:left w:type="dxa" w:w="120"/>
              <w:bottom w:type="dxa" w:w="100"/>
              <w:right w:type="dxa" w:w="120"/>
            </w:tcMar>
            <w:vAlign w:val="center"/>
          </w:tcPr>
          <w:p>
            <w:r>
              <w:rPr>
                <w:b/>
                <w:bCs/>
              </w:rPr>
              <w:t xml:space="preserve">Frequency</w:t>
            </w:r>
          </w:p>
        </w:tc>
      </w:tr>
      <w:tr>
        <w:tc>
          <w:tcPr>
            <w:tcW w:type="dxa" w:w="5400"/>
            <w:tcMar>
              <w:top w:type="dxa" w:w="100"/>
              <w:left w:type="dxa" w:w="120"/>
              <w:bottom w:type="dxa" w:w="100"/>
              <w:right w:type="dxa" w:w="120"/>
            </w:tcMar>
            <w:vAlign w:val="center"/>
          </w:tcPr>
          <w:p>
            <w:r>
              <w:t xml:space="preserve">Electric field due to a point charge (from Coulomb's law)</w:t>
            </w:r>
          </w:p>
        </w:tc>
        <w:tc>
          <w:tcPr>
            <w:tcW w:type="dxa" w:w="1400"/>
            <w:tcMar>
              <w:top w:type="dxa" w:w="100"/>
              <w:left w:type="dxa" w:w="120"/>
              <w:bottom w:type="dxa" w:w="100"/>
              <w:right w:type="dxa" w:w="120"/>
            </w:tcMar>
            <w:vAlign w:val="center"/>
          </w:tcPr>
          <w:p>
            <w:r>
              <w:t xml:space="preserve">2</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Electric field on the </w:t>
            </w:r>
            <w:r>
              <w:rPr>
                <w:b/>
                <w:bCs/>
              </w:rPr>
              <w:t xml:space="preserve">axial line</w:t>
            </w:r>
            <w:r>
              <w:t xml:space="preserve"> of an electric dipole</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Electric field on the </w:t>
            </w:r>
            <w:r>
              <w:rPr>
                <w:b/>
                <w:bCs/>
              </w:rPr>
              <w:t xml:space="preserve">equatorial line</w:t>
            </w:r>
            <w:r>
              <w:t xml:space="preserve"> of an electric dipole</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Torque on an electric dipole in a uniform external electric field</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Electric field due to an </w:t>
            </w:r>
            <w:r>
              <w:rPr>
                <w:b/>
                <w:bCs/>
              </w:rPr>
              <w:t xml:space="preserve">infinite plane sheet of charge</w:t>
            </w:r>
            <w:r>
              <w:t xml:space="preserve"> (Gauss's law)</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Electric field due to a </w:t>
            </w:r>
            <w:r>
              <w:rPr>
                <w:b/>
                <w:bCs/>
              </w:rPr>
              <w:t xml:space="preserve">uniformly charged thin spherical shell</w:t>
            </w:r>
            <w:r>
              <w:t xml:space="preserve"> — inside, on, and outside the surface (Gauss's law)</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Electric field due to an </w:t>
            </w:r>
            <w:r>
              <w:rPr>
                <w:b/>
                <w:bCs/>
              </w:rPr>
              <w:t xml:space="preserve">infinitely long straight charged wire</w:t>
            </w:r>
            <w:r>
              <w:t xml:space="preserve"> (Gauss's law)</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Electric potential due to a point charge</w:t>
            </w:r>
          </w:p>
        </w:tc>
        <w:tc>
          <w:tcPr>
            <w:tcW w:type="dxa" w:w="1400"/>
            <w:tcMar>
              <w:top w:type="dxa" w:w="100"/>
              <w:left w:type="dxa" w:w="120"/>
              <w:bottom w:type="dxa" w:w="100"/>
              <w:right w:type="dxa" w:w="120"/>
            </w:tcMar>
            <w:vAlign w:val="center"/>
          </w:tcPr>
          <w:p>
            <w:r>
              <w:t xml:space="preserve">2</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Electric potential due to an electric dipole, at a general point</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Relation between electric field and potential (E = −dV/dr)</w:t>
            </w:r>
          </w:p>
        </w:tc>
        <w:tc>
          <w:tcPr>
            <w:tcW w:type="dxa" w:w="1400"/>
            <w:tcMar>
              <w:top w:type="dxa" w:w="100"/>
              <w:left w:type="dxa" w:w="120"/>
              <w:bottom w:type="dxa" w:w="100"/>
              <w:right w:type="dxa" w:w="120"/>
            </w:tcMar>
            <w:vAlign w:val="center"/>
          </w:tcPr>
          <w:p>
            <w:r>
              <w:t xml:space="preserve">2</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Capacitance of a </w:t>
            </w:r>
            <w:r>
              <w:rPr>
                <w:b/>
                <w:bCs/>
              </w:rPr>
              <w:t xml:space="preserve">parallel plate capacitor</w:t>
            </w:r>
            <w:r>
              <w:t xml:space="preserve"> (no dielectric)</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Capacitance of a parallel plate capacitor </w:t>
            </w:r>
            <w:r>
              <w:rPr>
                <w:b/>
                <w:bCs/>
              </w:rPr>
              <w:t xml:space="preserve">with a dielectric slab</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Energy stored in a charged capacitor</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Effective capacitance of capacitors in </w:t>
            </w:r>
            <w:r>
              <w:rPr>
                <w:b/>
                <w:bCs/>
              </w:rPr>
              <w:t xml:space="preserve">series</w:t>
            </w:r>
            <w:r>
              <w:t xml:space="preserve"> and in </w:t>
            </w:r>
            <w:r>
              <w:rPr>
                <w:b/>
                <w:bCs/>
              </w:rPr>
              <w:t xml:space="preserve">parallel</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bl>
    <w:p>
      <w:pPr>
        <w:pStyle w:val="Heading2"/>
        <w:spacing w:after="160" w:before="360"/>
      </w:pPr>
      <w:r>
        <w:t xml:space="preserve">Unit 2 — Current Electricity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1400"/>
        <w:gridCol w:w="2226"/>
      </w:tblGrid>
      <w:tr>
        <w:trPr>
          <w:tblHeader/>
        </w:trPr>
        <w:tc>
          <w:tcPr>
            <w:tcW w:type="dxa" w:w="5400"/>
            <w:shd w:fill="DDE3EC" w:val="clear"/>
            <w:tcMar>
              <w:top w:type="dxa" w:w="100"/>
              <w:left w:type="dxa" w:w="120"/>
              <w:bottom w:type="dxa" w:w="100"/>
              <w:right w:type="dxa" w:w="120"/>
            </w:tcMar>
            <w:vAlign w:val="center"/>
          </w:tcPr>
          <w:p>
            <w:r>
              <w:rPr>
                <w:b/>
                <w:bCs/>
              </w:rPr>
              <w:t xml:space="preserve">Derivation</w:t>
            </w:r>
          </w:p>
        </w:tc>
        <w:tc>
          <w:tcPr>
            <w:tcW w:type="dxa" w:w="1400"/>
            <w:shd w:fill="DDE3EC" w:val="clear"/>
            <w:tcMar>
              <w:top w:type="dxa" w:w="100"/>
              <w:left w:type="dxa" w:w="120"/>
              <w:bottom w:type="dxa" w:w="100"/>
              <w:right w:type="dxa" w:w="120"/>
            </w:tcMar>
            <w:vAlign w:val="center"/>
          </w:tcPr>
          <w:p>
            <w:r>
              <w:rPr>
                <w:b/>
                <w:bCs/>
              </w:rPr>
              <w:t xml:space="preserve">Typical marks</w:t>
            </w:r>
          </w:p>
        </w:tc>
        <w:tc>
          <w:tcPr>
            <w:tcW w:type="dxa" w:w="2226"/>
            <w:shd w:fill="DDE3EC" w:val="clear"/>
            <w:tcMar>
              <w:top w:type="dxa" w:w="100"/>
              <w:left w:type="dxa" w:w="120"/>
              <w:bottom w:type="dxa" w:w="100"/>
              <w:right w:type="dxa" w:w="120"/>
            </w:tcMar>
            <w:vAlign w:val="center"/>
          </w:tcPr>
          <w:p>
            <w:r>
              <w:rPr>
                <w:b/>
                <w:bCs/>
              </w:rPr>
              <w:t xml:space="preserve">Frequency</w:t>
            </w:r>
          </w:p>
        </w:tc>
      </w:tr>
      <w:tr>
        <w:tc>
          <w:tcPr>
            <w:tcW w:type="dxa" w:w="5400"/>
            <w:tcMar>
              <w:top w:type="dxa" w:w="100"/>
              <w:left w:type="dxa" w:w="120"/>
              <w:bottom w:type="dxa" w:w="100"/>
              <w:right w:type="dxa" w:w="120"/>
            </w:tcMar>
            <w:vAlign w:val="center"/>
          </w:tcPr>
          <w:p>
            <w:r>
              <w:t xml:space="preserve">Relation between current and drift velocity (I = nAeV_d)</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Ohm's law from the microscopic (drift velocity) model; resistivity ρ = m/(ne²τ)</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Balance condition of the </w:t>
            </w:r>
            <w:r>
              <w:rPr>
                <w:b/>
                <w:bCs/>
              </w:rPr>
              <w:t xml:space="preserve">Wheatstone bridge</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Principle of a </w:t>
            </w:r>
            <w:r>
              <w:rPr>
                <w:b/>
                <w:bCs/>
              </w:rPr>
              <w:t xml:space="preserve">potentiometer</w:t>
            </w:r>
            <w:r>
              <w:t xml:space="preserve"> — comparing EMFs of two cells / finding internal resistance</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bl>
    <w:p>
      <w:pPr>
        <w:pStyle w:val="Heading2"/>
        <w:spacing w:after="160" w:before="360"/>
      </w:pPr>
      <w:r>
        <w:t xml:space="preserve">Unit 3 — Moving Charges and Magnetism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1400"/>
        <w:gridCol w:w="2226"/>
      </w:tblGrid>
      <w:tr>
        <w:trPr>
          <w:tblHeader/>
        </w:trPr>
        <w:tc>
          <w:tcPr>
            <w:tcW w:type="dxa" w:w="5400"/>
            <w:shd w:fill="DDE3EC" w:val="clear"/>
            <w:tcMar>
              <w:top w:type="dxa" w:w="100"/>
              <w:left w:type="dxa" w:w="120"/>
              <w:bottom w:type="dxa" w:w="100"/>
              <w:right w:type="dxa" w:w="120"/>
            </w:tcMar>
            <w:vAlign w:val="center"/>
          </w:tcPr>
          <w:p>
            <w:r>
              <w:rPr>
                <w:b/>
                <w:bCs/>
              </w:rPr>
              <w:t xml:space="preserve">Derivation</w:t>
            </w:r>
          </w:p>
        </w:tc>
        <w:tc>
          <w:tcPr>
            <w:tcW w:type="dxa" w:w="1400"/>
            <w:shd w:fill="DDE3EC" w:val="clear"/>
            <w:tcMar>
              <w:top w:type="dxa" w:w="100"/>
              <w:left w:type="dxa" w:w="120"/>
              <w:bottom w:type="dxa" w:w="100"/>
              <w:right w:type="dxa" w:w="120"/>
            </w:tcMar>
            <w:vAlign w:val="center"/>
          </w:tcPr>
          <w:p>
            <w:r>
              <w:rPr>
                <w:b/>
                <w:bCs/>
              </w:rPr>
              <w:t xml:space="preserve">Typical marks</w:t>
            </w:r>
          </w:p>
        </w:tc>
        <w:tc>
          <w:tcPr>
            <w:tcW w:type="dxa" w:w="2226"/>
            <w:shd w:fill="DDE3EC" w:val="clear"/>
            <w:tcMar>
              <w:top w:type="dxa" w:w="100"/>
              <w:left w:type="dxa" w:w="120"/>
              <w:bottom w:type="dxa" w:w="100"/>
              <w:right w:type="dxa" w:w="120"/>
            </w:tcMar>
            <w:vAlign w:val="center"/>
          </w:tcPr>
          <w:p>
            <w:r>
              <w:rPr>
                <w:b/>
                <w:bCs/>
              </w:rPr>
              <w:t xml:space="preserve">Frequency</w:t>
            </w:r>
          </w:p>
        </w:tc>
      </w:tr>
      <w:tr>
        <w:tc>
          <w:tcPr>
            <w:tcW w:type="dxa" w:w="5400"/>
            <w:tcMar>
              <w:top w:type="dxa" w:w="100"/>
              <w:left w:type="dxa" w:w="120"/>
              <w:bottom w:type="dxa" w:w="100"/>
              <w:right w:type="dxa" w:w="120"/>
            </w:tcMar>
            <w:vAlign w:val="center"/>
          </w:tcPr>
          <w:p>
            <w:r>
              <w:t xml:space="preserve">Magnetic field at the </w:t>
            </w:r>
            <w:r>
              <w:rPr>
                <w:b/>
                <w:bCs/>
              </w:rPr>
              <w:t xml:space="preserve">centre</w:t>
            </w:r>
            <w:r>
              <w:t xml:space="preserve"> of a current-carrying circular loop (Biot–Savart law)</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Magnetic field </w:t>
            </w:r>
            <w:r>
              <w:rPr>
                <w:b/>
                <w:bCs/>
              </w:rPr>
              <w:t xml:space="preserve">on the axis</w:t>
            </w:r>
            <w:r>
              <w:t xml:space="preserve"> of a current-carrying circular loop</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Magnetic field due to a straight current-carrying conductor (Biot–Savart law)</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Magnetic field inside a long </w:t>
            </w:r>
            <w:r>
              <w:rPr>
                <w:b/>
                <w:bCs/>
              </w:rPr>
              <w:t xml:space="preserve">solenoid</w:t>
            </w:r>
            <w:r>
              <w:t xml:space="preserve"> (Ampere's circuital law)</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Force between two long parallel current-carrying conductors; definition of the ampere</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Torque on a current-carrying loop in a uniform magnetic field; principle of a </w:t>
            </w:r>
            <w:r>
              <w:rPr>
                <w:b/>
                <w:bCs/>
              </w:rPr>
              <w:t xml:space="preserve">moving-coil galvanometer</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Conversion of a galvanometer into an </w:t>
            </w:r>
            <w:r>
              <w:rPr>
                <w:b/>
                <w:bCs/>
              </w:rPr>
              <w:t xml:space="preserve">ammeter</w:t>
            </w:r>
            <w:r>
              <w:t xml:space="preserve"> (shunt) and a </w:t>
            </w:r>
            <w:r>
              <w:rPr>
                <w:b/>
                <w:bCs/>
              </w:rPr>
              <w:t xml:space="preserve">voltmeter</w:t>
            </w:r>
            <w:r>
              <w:t xml:space="preserve"> (series resistance)</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bl>
    <w:p>
      <w:pPr>
        <w:pStyle w:val="Heading2"/>
        <w:spacing w:after="160" w:before="360"/>
      </w:pPr>
      <w:r>
        <w:t xml:space="preserve">Unit 4 — Electromagnetic Induction &amp; Alternating Current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1400"/>
        <w:gridCol w:w="2226"/>
      </w:tblGrid>
      <w:tr>
        <w:trPr>
          <w:tblHeader/>
        </w:trPr>
        <w:tc>
          <w:tcPr>
            <w:tcW w:type="dxa" w:w="5400"/>
            <w:shd w:fill="DDE3EC" w:val="clear"/>
            <w:tcMar>
              <w:top w:type="dxa" w:w="100"/>
              <w:left w:type="dxa" w:w="120"/>
              <w:bottom w:type="dxa" w:w="100"/>
              <w:right w:type="dxa" w:w="120"/>
            </w:tcMar>
            <w:vAlign w:val="center"/>
          </w:tcPr>
          <w:p>
            <w:r>
              <w:rPr>
                <w:b/>
                <w:bCs/>
              </w:rPr>
              <w:t xml:space="preserve">Derivation</w:t>
            </w:r>
          </w:p>
        </w:tc>
        <w:tc>
          <w:tcPr>
            <w:tcW w:type="dxa" w:w="1400"/>
            <w:shd w:fill="DDE3EC" w:val="clear"/>
            <w:tcMar>
              <w:top w:type="dxa" w:w="100"/>
              <w:left w:type="dxa" w:w="120"/>
              <w:bottom w:type="dxa" w:w="100"/>
              <w:right w:type="dxa" w:w="120"/>
            </w:tcMar>
            <w:vAlign w:val="center"/>
          </w:tcPr>
          <w:p>
            <w:r>
              <w:rPr>
                <w:b/>
                <w:bCs/>
              </w:rPr>
              <w:t xml:space="preserve">Typical marks</w:t>
            </w:r>
          </w:p>
        </w:tc>
        <w:tc>
          <w:tcPr>
            <w:tcW w:type="dxa" w:w="2226"/>
            <w:shd w:fill="DDE3EC" w:val="clear"/>
            <w:tcMar>
              <w:top w:type="dxa" w:w="100"/>
              <w:left w:type="dxa" w:w="120"/>
              <w:bottom w:type="dxa" w:w="100"/>
              <w:right w:type="dxa" w:w="120"/>
            </w:tcMar>
            <w:vAlign w:val="center"/>
          </w:tcPr>
          <w:p>
            <w:r>
              <w:rPr>
                <w:b/>
                <w:bCs/>
              </w:rPr>
              <w:t xml:space="preserve">Frequency</w:t>
            </w:r>
          </w:p>
        </w:tc>
      </w:tr>
      <w:tr>
        <w:tc>
          <w:tcPr>
            <w:tcW w:type="dxa" w:w="5400"/>
            <w:tcMar>
              <w:top w:type="dxa" w:w="100"/>
              <w:left w:type="dxa" w:w="120"/>
              <w:bottom w:type="dxa" w:w="100"/>
              <w:right w:type="dxa" w:w="120"/>
            </w:tcMar>
            <w:vAlign w:val="center"/>
          </w:tcPr>
          <w:p>
            <w:r>
              <w:rPr>
                <w:b/>
                <w:bCs/>
              </w:rPr>
              <w:t xml:space="preserve">Motional EMF</w:t>
            </w:r>
            <w:r>
              <w:t xml:space="preserve"> (from the force on a moving charge)</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Self-inductance of a long solenoid</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Mutual inductance of two long coaxial solenoids</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AC through a pure resistor / pure inductor / pure capacitor — current, phase relationships</w:t>
            </w:r>
          </w:p>
        </w:tc>
        <w:tc>
          <w:tcPr>
            <w:tcW w:type="dxa" w:w="1400"/>
            <w:tcMar>
              <w:top w:type="dxa" w:w="100"/>
              <w:left w:type="dxa" w:w="120"/>
              <w:bottom w:type="dxa" w:w="100"/>
              <w:right w:type="dxa" w:w="120"/>
            </w:tcMar>
            <w:vAlign w:val="center"/>
          </w:tcPr>
          <w:p>
            <w:r>
              <w:t xml:space="preserve">2–3 each</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Impedance of a series </w:t>
            </w:r>
            <w:r>
              <w:rPr>
                <w:b/>
                <w:bCs/>
              </w:rPr>
              <w:t xml:space="preserve">LCR circuit</w:t>
            </w:r>
            <w:r>
              <w:t xml:space="preserve"> using a phasor diagram</w:t>
            </w:r>
          </w:p>
        </w:tc>
        <w:tc>
          <w:tcPr>
            <w:tcW w:type="dxa" w:w="1400"/>
            <w:tcMar>
              <w:top w:type="dxa" w:w="100"/>
              <w:left w:type="dxa" w:w="120"/>
              <w:bottom w:type="dxa" w:w="100"/>
              <w:right w:type="dxa" w:w="120"/>
            </w:tcMar>
            <w:vAlign w:val="center"/>
          </w:tcPr>
          <w:p>
            <w:r>
              <w:t xml:space="preserve">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Resonance condition and resonant frequency of a series LCR circuit</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Average power in an AC circuit; power factor</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Working and EMF equation of a </w:t>
            </w:r>
            <w:r>
              <w:rPr>
                <w:b/>
                <w:bCs/>
              </w:rPr>
              <w:t xml:space="preserve">transformer</w:t>
            </w:r>
            <w:r>
              <w:t xml:space="preserve">; efficiency</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bl>
    <w:p>
      <w:pPr>
        <w:pStyle w:val="Heading2"/>
        <w:spacing w:after="160" w:before="360"/>
      </w:pPr>
      <w:r>
        <w:t xml:space="preserve">Unit 5 — Ray Optics &amp; Optical Instruments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1400"/>
        <w:gridCol w:w="2226"/>
      </w:tblGrid>
      <w:tr>
        <w:trPr>
          <w:tblHeader/>
        </w:trPr>
        <w:tc>
          <w:tcPr>
            <w:tcW w:type="dxa" w:w="5400"/>
            <w:shd w:fill="DDE3EC" w:val="clear"/>
            <w:tcMar>
              <w:top w:type="dxa" w:w="100"/>
              <w:left w:type="dxa" w:w="120"/>
              <w:bottom w:type="dxa" w:w="100"/>
              <w:right w:type="dxa" w:w="120"/>
            </w:tcMar>
            <w:vAlign w:val="center"/>
          </w:tcPr>
          <w:p>
            <w:r>
              <w:rPr>
                <w:b/>
                <w:bCs/>
              </w:rPr>
              <w:t xml:space="preserve">Derivation</w:t>
            </w:r>
          </w:p>
        </w:tc>
        <w:tc>
          <w:tcPr>
            <w:tcW w:type="dxa" w:w="1400"/>
            <w:shd w:fill="DDE3EC" w:val="clear"/>
            <w:tcMar>
              <w:top w:type="dxa" w:w="100"/>
              <w:left w:type="dxa" w:w="120"/>
              <w:bottom w:type="dxa" w:w="100"/>
              <w:right w:type="dxa" w:w="120"/>
            </w:tcMar>
            <w:vAlign w:val="center"/>
          </w:tcPr>
          <w:p>
            <w:r>
              <w:rPr>
                <w:b/>
                <w:bCs/>
              </w:rPr>
              <w:t xml:space="preserve">Typical marks</w:t>
            </w:r>
          </w:p>
        </w:tc>
        <w:tc>
          <w:tcPr>
            <w:tcW w:type="dxa" w:w="2226"/>
            <w:shd w:fill="DDE3EC" w:val="clear"/>
            <w:tcMar>
              <w:top w:type="dxa" w:w="100"/>
              <w:left w:type="dxa" w:w="120"/>
              <w:bottom w:type="dxa" w:w="100"/>
              <w:right w:type="dxa" w:w="120"/>
            </w:tcMar>
            <w:vAlign w:val="center"/>
          </w:tcPr>
          <w:p>
            <w:r>
              <w:rPr>
                <w:b/>
                <w:bCs/>
              </w:rPr>
              <w:t xml:space="preserve">Frequency</w:t>
            </w:r>
          </w:p>
        </w:tc>
      </w:tr>
      <w:tr>
        <w:tc>
          <w:tcPr>
            <w:tcW w:type="dxa" w:w="5400"/>
            <w:tcMar>
              <w:top w:type="dxa" w:w="100"/>
              <w:left w:type="dxa" w:w="120"/>
              <w:bottom w:type="dxa" w:w="100"/>
              <w:right w:type="dxa" w:w="120"/>
            </w:tcMar>
            <w:vAlign w:val="center"/>
          </w:tcPr>
          <w:p>
            <w:r>
              <w:t xml:space="preserve">Mirror formula for a concave mirror (real image case)</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Refraction at a single spherical surface — relation between u, v, R</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rPr>
                <w:b/>
                <w:bCs/>
              </w:rPr>
              <w:t xml:space="preserve">Lens maker's formula</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Thin lens formula (1/v − 1/u = 1/f)</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Equivalent focal length/power of two thin lenses in contact</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Refraction through a prism — i + e = A + δ, and n = sin[(A+D_m)/2] / sin(A/2)</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Magnifying power of a </w:t>
            </w:r>
            <w:r>
              <w:rPr>
                <w:b/>
                <w:bCs/>
              </w:rPr>
              <w:t xml:space="preserve">simple microscope</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Magnifying power of a </w:t>
            </w:r>
            <w:r>
              <w:rPr>
                <w:b/>
                <w:bCs/>
              </w:rPr>
              <w:t xml:space="preserve">compound microscope</w:t>
            </w:r>
            <w:r>
              <w:t xml:space="preserve"> (normal adjustment)</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Magnifying power of an </w:t>
            </w:r>
            <w:r>
              <w:rPr>
                <w:b/>
                <w:bCs/>
              </w:rPr>
              <w:t xml:space="preserve">astronomical telescope</w:t>
            </w:r>
            <w:r>
              <w:t xml:space="preserve"> (normal adjustment)</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bl>
    <w:p>
      <w:pPr>
        <w:pStyle w:val="Heading2"/>
        <w:spacing w:after="160" w:before="360"/>
      </w:pPr>
      <w:r>
        <w:t xml:space="preserve">Unit 6 — Wave Optics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1400"/>
        <w:gridCol w:w="2226"/>
      </w:tblGrid>
      <w:tr>
        <w:trPr>
          <w:tblHeader/>
        </w:trPr>
        <w:tc>
          <w:tcPr>
            <w:tcW w:type="dxa" w:w="5400"/>
            <w:shd w:fill="DDE3EC" w:val="clear"/>
            <w:tcMar>
              <w:top w:type="dxa" w:w="100"/>
              <w:left w:type="dxa" w:w="120"/>
              <w:bottom w:type="dxa" w:w="100"/>
              <w:right w:type="dxa" w:w="120"/>
            </w:tcMar>
            <w:vAlign w:val="center"/>
          </w:tcPr>
          <w:p>
            <w:r>
              <w:rPr>
                <w:b/>
                <w:bCs/>
              </w:rPr>
              <w:t xml:space="preserve">Derivation</w:t>
            </w:r>
          </w:p>
        </w:tc>
        <w:tc>
          <w:tcPr>
            <w:tcW w:type="dxa" w:w="1400"/>
            <w:shd w:fill="DDE3EC" w:val="clear"/>
            <w:tcMar>
              <w:top w:type="dxa" w:w="100"/>
              <w:left w:type="dxa" w:w="120"/>
              <w:bottom w:type="dxa" w:w="100"/>
              <w:right w:type="dxa" w:w="120"/>
            </w:tcMar>
            <w:vAlign w:val="center"/>
          </w:tcPr>
          <w:p>
            <w:r>
              <w:rPr>
                <w:b/>
                <w:bCs/>
              </w:rPr>
              <w:t xml:space="preserve">Typical marks</w:t>
            </w:r>
          </w:p>
        </w:tc>
        <w:tc>
          <w:tcPr>
            <w:tcW w:type="dxa" w:w="2226"/>
            <w:shd w:fill="DDE3EC" w:val="clear"/>
            <w:tcMar>
              <w:top w:type="dxa" w:w="100"/>
              <w:left w:type="dxa" w:w="120"/>
              <w:bottom w:type="dxa" w:w="100"/>
              <w:right w:type="dxa" w:w="120"/>
            </w:tcMar>
            <w:vAlign w:val="center"/>
          </w:tcPr>
          <w:p>
            <w:r>
              <w:rPr>
                <w:b/>
                <w:bCs/>
              </w:rPr>
              <w:t xml:space="preserve">Frequency</w:t>
            </w:r>
          </w:p>
        </w:tc>
      </w:tr>
      <w:tr>
        <w:tc>
          <w:tcPr>
            <w:tcW w:type="dxa" w:w="5400"/>
            <w:tcMar>
              <w:top w:type="dxa" w:w="100"/>
              <w:left w:type="dxa" w:w="120"/>
              <w:bottom w:type="dxa" w:w="100"/>
              <w:right w:type="dxa" w:w="120"/>
            </w:tcMar>
            <w:vAlign w:val="center"/>
          </w:tcPr>
          <w:p>
            <w:r>
              <w:t xml:space="preserve">Young's double-slit experiment — derivation of </w:t>
            </w:r>
            <w:r>
              <w:rPr>
                <w:b/>
                <w:bCs/>
              </w:rPr>
              <w:t xml:space="preserve">fringe width</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Conditions for constructive and destructive interference (path difference)</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Single-slit diffraction — condition for the first minimum</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bl>
    <w:p>
      <w:pPr>
        <w:pStyle w:val="Heading2"/>
        <w:spacing w:after="160" w:before="360"/>
      </w:pPr>
      <w:r>
        <w:t xml:space="preserve">Unit 7 — Dual Nature of Radiation and Matter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1400"/>
        <w:gridCol w:w="2226"/>
      </w:tblGrid>
      <w:tr>
        <w:trPr>
          <w:tblHeader/>
        </w:trPr>
        <w:tc>
          <w:tcPr>
            <w:tcW w:type="dxa" w:w="5400"/>
            <w:shd w:fill="DDE3EC" w:val="clear"/>
            <w:tcMar>
              <w:top w:type="dxa" w:w="100"/>
              <w:left w:type="dxa" w:w="120"/>
              <w:bottom w:type="dxa" w:w="100"/>
              <w:right w:type="dxa" w:w="120"/>
            </w:tcMar>
            <w:vAlign w:val="center"/>
          </w:tcPr>
          <w:p>
            <w:r>
              <w:rPr>
                <w:b/>
                <w:bCs/>
              </w:rPr>
              <w:t xml:space="preserve">Derivation</w:t>
            </w:r>
          </w:p>
        </w:tc>
        <w:tc>
          <w:tcPr>
            <w:tcW w:type="dxa" w:w="1400"/>
            <w:shd w:fill="DDE3EC" w:val="clear"/>
            <w:tcMar>
              <w:top w:type="dxa" w:w="100"/>
              <w:left w:type="dxa" w:w="120"/>
              <w:bottom w:type="dxa" w:w="100"/>
              <w:right w:type="dxa" w:w="120"/>
            </w:tcMar>
            <w:vAlign w:val="center"/>
          </w:tcPr>
          <w:p>
            <w:r>
              <w:rPr>
                <w:b/>
                <w:bCs/>
              </w:rPr>
              <w:t xml:space="preserve">Typical marks</w:t>
            </w:r>
          </w:p>
        </w:tc>
        <w:tc>
          <w:tcPr>
            <w:tcW w:type="dxa" w:w="2226"/>
            <w:shd w:fill="DDE3EC" w:val="clear"/>
            <w:tcMar>
              <w:top w:type="dxa" w:w="100"/>
              <w:left w:type="dxa" w:w="120"/>
              <w:bottom w:type="dxa" w:w="100"/>
              <w:right w:type="dxa" w:w="120"/>
            </w:tcMar>
            <w:vAlign w:val="center"/>
          </w:tcPr>
          <w:p>
            <w:r>
              <w:rPr>
                <w:b/>
                <w:bCs/>
              </w:rPr>
              <w:t xml:space="preserve">Frequency</w:t>
            </w:r>
          </w:p>
        </w:tc>
      </w:tr>
      <w:tr>
        <w:tc>
          <w:tcPr>
            <w:tcW w:type="dxa" w:w="5400"/>
            <w:tcMar>
              <w:top w:type="dxa" w:w="100"/>
              <w:left w:type="dxa" w:w="120"/>
              <w:bottom w:type="dxa" w:w="100"/>
              <w:right w:type="dxa" w:w="120"/>
            </w:tcMar>
            <w:vAlign w:val="center"/>
          </w:tcPr>
          <w:p>
            <w:r>
              <w:rPr>
                <w:b/>
                <w:bCs/>
              </w:rPr>
              <w:t xml:space="preserve">Einstein's photoelectric equation</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rPr>
                <w:b/>
                <w:bCs/>
              </w:rPr>
              <w:t xml:space="preserve">de Broglie wavelength</w:t>
            </w:r>
            <w:r>
              <w:t xml:space="preserve"> of a moving particle</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bl>
    <w:p>
      <w:pPr>
        <w:pStyle w:val="Heading2"/>
        <w:spacing w:after="160" w:before="360"/>
      </w:pPr>
      <w:r>
        <w:t xml:space="preserve">Unit 8 — Atoms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1400"/>
        <w:gridCol w:w="2226"/>
      </w:tblGrid>
      <w:tr>
        <w:trPr>
          <w:tblHeader/>
        </w:trPr>
        <w:tc>
          <w:tcPr>
            <w:tcW w:type="dxa" w:w="5400"/>
            <w:shd w:fill="DDE3EC" w:val="clear"/>
            <w:tcMar>
              <w:top w:type="dxa" w:w="100"/>
              <w:left w:type="dxa" w:w="120"/>
              <w:bottom w:type="dxa" w:w="100"/>
              <w:right w:type="dxa" w:w="120"/>
            </w:tcMar>
            <w:vAlign w:val="center"/>
          </w:tcPr>
          <w:p>
            <w:r>
              <w:rPr>
                <w:b/>
                <w:bCs/>
              </w:rPr>
              <w:t xml:space="preserve">Derivation</w:t>
            </w:r>
          </w:p>
        </w:tc>
        <w:tc>
          <w:tcPr>
            <w:tcW w:type="dxa" w:w="1400"/>
            <w:shd w:fill="DDE3EC" w:val="clear"/>
            <w:tcMar>
              <w:top w:type="dxa" w:w="100"/>
              <w:left w:type="dxa" w:w="120"/>
              <w:bottom w:type="dxa" w:w="100"/>
              <w:right w:type="dxa" w:w="120"/>
            </w:tcMar>
            <w:vAlign w:val="center"/>
          </w:tcPr>
          <w:p>
            <w:r>
              <w:rPr>
                <w:b/>
                <w:bCs/>
              </w:rPr>
              <w:t xml:space="preserve">Typical marks</w:t>
            </w:r>
          </w:p>
        </w:tc>
        <w:tc>
          <w:tcPr>
            <w:tcW w:type="dxa" w:w="2226"/>
            <w:shd w:fill="DDE3EC" w:val="clear"/>
            <w:tcMar>
              <w:top w:type="dxa" w:w="100"/>
              <w:left w:type="dxa" w:w="120"/>
              <w:bottom w:type="dxa" w:w="100"/>
              <w:right w:type="dxa" w:w="120"/>
            </w:tcMar>
            <w:vAlign w:val="center"/>
          </w:tcPr>
          <w:p>
            <w:r>
              <w:rPr>
                <w:b/>
                <w:bCs/>
              </w:rPr>
              <w:t xml:space="preserve">Frequency</w:t>
            </w:r>
          </w:p>
        </w:tc>
      </w:tr>
      <w:tr>
        <w:tc>
          <w:tcPr>
            <w:tcW w:type="dxa" w:w="5400"/>
            <w:tcMar>
              <w:top w:type="dxa" w:w="100"/>
              <w:left w:type="dxa" w:w="120"/>
              <w:bottom w:type="dxa" w:w="100"/>
              <w:right w:type="dxa" w:w="120"/>
            </w:tcMar>
            <w:vAlign w:val="center"/>
          </w:tcPr>
          <w:p>
            <w:r>
              <w:t xml:space="preserve">Bohr's postulates → </w:t>
            </w:r>
            <w:r>
              <w:rPr>
                <w:b/>
                <w:bCs/>
              </w:rPr>
              <w:t xml:space="preserve">radius of the nth orbit</w:t>
            </w:r>
            <w:r>
              <w:t xml:space="preserve"> of the hydrogen atom</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Bohr's model → velocity of the electron in the nth orbit</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Bohr's model → </w:t>
            </w:r>
            <w:r>
              <w:rPr>
                <w:b/>
                <w:bCs/>
              </w:rPr>
              <w:t xml:space="preserve">total energy of the electron</w:t>
            </w:r>
            <w:r>
              <w:t xml:space="preserve"> in the nth orbit</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Expression for the wavelength of spectral lines (Rydberg formula)</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bl>
    <w:p>
      <w:pPr>
        <w:pStyle w:val="Heading2"/>
        <w:spacing w:after="160" w:before="360"/>
      </w:pPr>
      <w:r>
        <w:t xml:space="preserve">Unit 9 — Nuclei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1400"/>
        <w:gridCol w:w="2226"/>
      </w:tblGrid>
      <w:tr>
        <w:trPr>
          <w:tblHeader/>
        </w:trPr>
        <w:tc>
          <w:tcPr>
            <w:tcW w:type="dxa" w:w="5400"/>
            <w:shd w:fill="DDE3EC" w:val="clear"/>
            <w:tcMar>
              <w:top w:type="dxa" w:w="100"/>
              <w:left w:type="dxa" w:w="120"/>
              <w:bottom w:type="dxa" w:w="100"/>
              <w:right w:type="dxa" w:w="120"/>
            </w:tcMar>
            <w:vAlign w:val="center"/>
          </w:tcPr>
          <w:p>
            <w:r>
              <w:rPr>
                <w:b/>
                <w:bCs/>
              </w:rPr>
              <w:t xml:space="preserve">Derivation</w:t>
            </w:r>
          </w:p>
        </w:tc>
        <w:tc>
          <w:tcPr>
            <w:tcW w:type="dxa" w:w="1400"/>
            <w:shd w:fill="DDE3EC" w:val="clear"/>
            <w:tcMar>
              <w:top w:type="dxa" w:w="100"/>
              <w:left w:type="dxa" w:w="120"/>
              <w:bottom w:type="dxa" w:w="100"/>
              <w:right w:type="dxa" w:w="120"/>
            </w:tcMar>
            <w:vAlign w:val="center"/>
          </w:tcPr>
          <w:p>
            <w:r>
              <w:rPr>
                <w:b/>
                <w:bCs/>
              </w:rPr>
              <w:t xml:space="preserve">Typical marks</w:t>
            </w:r>
          </w:p>
        </w:tc>
        <w:tc>
          <w:tcPr>
            <w:tcW w:type="dxa" w:w="2226"/>
            <w:shd w:fill="DDE3EC" w:val="clear"/>
            <w:tcMar>
              <w:top w:type="dxa" w:w="100"/>
              <w:left w:type="dxa" w:w="120"/>
              <w:bottom w:type="dxa" w:w="100"/>
              <w:right w:type="dxa" w:w="120"/>
            </w:tcMar>
            <w:vAlign w:val="center"/>
          </w:tcPr>
          <w:p>
            <w:r>
              <w:rPr>
                <w:b/>
                <w:bCs/>
              </w:rPr>
              <w:t xml:space="preserve">Frequency</w:t>
            </w:r>
          </w:p>
        </w:tc>
      </w:tr>
      <w:tr>
        <w:tc>
          <w:tcPr>
            <w:tcW w:type="dxa" w:w="5400"/>
            <w:tcMar>
              <w:top w:type="dxa" w:w="100"/>
              <w:left w:type="dxa" w:w="120"/>
              <w:bottom w:type="dxa" w:w="100"/>
              <w:right w:type="dxa" w:w="120"/>
            </w:tcMar>
            <w:vAlign w:val="center"/>
          </w:tcPr>
          <w:p>
            <w:r>
              <w:rPr>
                <w:b/>
                <w:bCs/>
              </w:rPr>
              <w:t xml:space="preserve">Radioactive decay law</w:t>
            </w:r>
            <w:r>
              <w:t xml:space="preserve"> (N = N₀e^(−λt))</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Relation between half-life and decay constant</w:t>
            </w:r>
          </w:p>
        </w:tc>
        <w:tc>
          <w:tcPr>
            <w:tcW w:type="dxa" w:w="1400"/>
            <w:tcMar>
              <w:top w:type="dxa" w:w="100"/>
              <w:left w:type="dxa" w:w="120"/>
              <w:bottom w:type="dxa" w:w="100"/>
              <w:right w:type="dxa" w:w="120"/>
            </w:tcMar>
            <w:vAlign w:val="center"/>
          </w:tcPr>
          <w:p>
            <w:r>
              <w:t xml:space="preserve">2</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Relation between mean life and decay constant</w:t>
            </w:r>
          </w:p>
        </w:tc>
        <w:tc>
          <w:tcPr>
            <w:tcW w:type="dxa" w:w="1400"/>
            <w:tcMar>
              <w:top w:type="dxa" w:w="100"/>
              <w:left w:type="dxa" w:w="120"/>
              <w:bottom w:type="dxa" w:w="100"/>
              <w:right w:type="dxa" w:w="120"/>
            </w:tcMar>
            <w:vAlign w:val="center"/>
          </w:tcPr>
          <w:p>
            <w:r>
              <w:t xml:space="preserve">2</w:t>
            </w:r>
          </w:p>
        </w:tc>
        <w:tc>
          <w:tcPr>
            <w:tcW w:type="dxa" w:w="2226"/>
            <w:tcMar>
              <w:top w:type="dxa" w:w="100"/>
              <w:left w:type="dxa" w:w="120"/>
              <w:bottom w:type="dxa" w:w="100"/>
              <w:right w:type="dxa" w:w="120"/>
            </w:tcMar>
            <w:vAlign w:val="center"/>
          </w:tcPr>
          <w:p>
            <w:r>
              <w:t xml:space="preserve">★</w:t>
            </w:r>
          </w:p>
        </w:tc>
      </w:tr>
    </w:tbl>
    <w:p>
      <w:pPr>
        <w:pStyle w:val="Heading2"/>
        <w:spacing w:after="160" w:before="360"/>
      </w:pPr>
      <w:r>
        <w:t xml:space="preserve">Unit 10 — Semiconductor Electronics</w:t>
      </w:r>
    </w:p>
    <w:p>
      <w:pPr>
        <w:spacing w:after="200"/>
      </w:pPr>
      <w:r>
        <w:t xml:space="preserve">Mostly conceptual in the current syllabus (V–I characteristics, working principles, logic gates) — no major standalone derivations are typically asked from this unit, unlike Units 1–9 above.</w:t>
      </w:r>
    </w:p>
    <w:p>
      <w:pPr>
        <w:pStyle w:val="Heading2"/>
        <w:spacing w:after="160" w:before="360"/>
      </w:pPr>
      <w:r>
        <w:t xml:space="preserve">How to use this list</w:t>
      </w:r>
    </w:p>
    <w:p>
      <w:pPr>
        <w:spacing w:after="140"/>
        <w:ind w:left="360"/>
      </w:pPr>
      <w:r>
        <w:t xml:space="preserve">1. </w:t>
      </w:r>
      <w:r>
        <w:t xml:space="preserve">Go unit by unit. For each derivation, close the book and try to produce it from the starting principle (Coulomb's law, Gauss's law, Biot–Savart law, Snell's law, Bohr's postulates, etc.) through to the final result, with the diagram.</w:t>
      </w:r>
    </w:p>
    <w:p>
      <w:pPr>
        <w:spacing w:after="140"/>
        <w:ind w:left="360"/>
      </w:pPr>
      <w:r>
        <w:t xml:space="preserve">2. </w:t>
      </w:r>
      <w:r>
        <w:t xml:space="preserve">Mark anything you couldn't do cleanly — those go on a short list for a second pass closer to the exam.</w:t>
      </w:r>
    </w:p>
    <w:p>
      <w:pPr>
        <w:spacing w:after="140"/>
        <w:ind w:left="360"/>
      </w:pPr>
      <w:r>
        <w:t xml:space="preserve">3. </w:t>
      </w:r>
      <w:r>
        <w:t xml:space="preserve">The ★★★ items are worth over-preparing: they show up almost every year, sometimes as the derivation itself, sometimes as a numerical built on top of it.</w:t>
      </w:r>
    </w:p>
    <w:p>
      <w:pPr>
        <w:spacing w:after="140"/>
        <w:ind w:left="360"/>
      </w:pPr>
      <w:r>
        <w:t xml:space="preserve">4. </w:t>
      </w:r>
      <w:r>
        <w:t xml:space="preserve">Board papers often ask you to derive, then apply (e.g. derive the lens maker's formula, then use it in a numerical) — so pair each derivation with a couple of numericals on the same formula while revising.</w:t>
      </w:r>
    </w:p>
    <w:p>
      <w:pPr>
        <w:spacing w:before="240"/>
      </w:pPr>
      <w:r>
        <w:rPr>
          <w:i/>
          <w:iCs/>
        </w:rPr>
        <w:t xml:space="preserve">Sources consulted for frequency/scope: </w:t>
      </w:r>
      <w:r>
        <w:rPr>
          <w:i/>
          <w:iCs/>
        </w:rPr>
        <w:t xml:space="preserve">recent-year CBSE sample papers and previous-year question papers, and the current rationalised CBSE Class 12 Physics syllabus (cbseacademic.nic.in).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2026-10-07T04:58:22.106Z</dcterms:created>
  <dcterms:modified xsi:type="dcterms:W3CDTF">2026-10-07T04:58:22.120Z</dcterms:modified>
</cp:coreProperties>
</file>

<file path=docProps/custom.xml><?xml version="1.0" encoding="utf-8"?>
<Properties xmlns="http://schemas.openxmlformats.org/officeDocument/2006/custom-properties" xmlns:vt="http://schemas.openxmlformats.org/officeDocument/2006/docPropsVTypes"/>
</file>