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2F2F2" w:themeColor="background1" w:themeShade="F2"/>
  <w:body>
    <w:p w:rsidR="00B95D0B" w:rsidRPr="00B95D0B" w:rsidRDefault="00B95D0B" w:rsidP="00B95D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u w:val="single"/>
          <w:lang w:eastAsia="en-ZA"/>
        </w:rPr>
      </w:pPr>
      <w:bookmarkStart w:id="0" w:name="_GoBack"/>
      <w:bookmarkEnd w:id="0"/>
      <w:r w:rsidRPr="00B95D0B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  <w:u w:val="single"/>
          <w:lang w:eastAsia="en-ZA"/>
        </w:rPr>
        <w:t>FINANCIAL STATEMENT ANALYSIS REPORT</w:t>
      </w:r>
    </w:p>
    <w:p w:rsidR="00B95D0B" w:rsidRPr="00B95D0B" w:rsidRDefault="00B95D0B" w:rsidP="00B9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Prepared by:</w:t>
      </w: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Royal Touch</w:t>
      </w: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Prepared by:</w:t>
      </w: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Tichaona Banda</w:t>
      </w: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Period Covered: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[01/01/2025-31/12/2025</w:t>
      </w:r>
      <w:proofErr w:type="gramStart"/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]</w:t>
      </w:r>
      <w:proofErr w:type="gramEnd"/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[31/12/2025</w:t>
      </w: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]</w:t>
      </w:r>
    </w:p>
    <w:p w:rsidR="00B95D0B" w:rsidRPr="00B95D0B" w:rsidRDefault="00D90251" w:rsidP="00B9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5" style="width:0;height:1.5pt" o:hralign="center" o:hrstd="t" o:hr="t" fillcolor="#a0a0a0" stroked="f"/>
        </w:pic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  <w:lang w:eastAsia="en-ZA"/>
        </w:rPr>
        <w:t>1. Executive Summary</w:t>
      </w:r>
    </w:p>
    <w:p w:rsidR="00B95D0B" w:rsidRPr="00B95D0B" w:rsidRDefault="00B95D0B" w:rsidP="00B9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This report presents a comprehensive analysis of the company’s financial performance and financial position based on the </w:t>
      </w: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Income Statement</w:t>
      </w: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</w:t>
      </w: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Balance Sheet</w:t>
      </w: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prepared using Microsoft Excel and subsequently exported to PDF format.</w:t>
      </w:r>
    </w:p>
    <w:p w:rsidR="00B95D0B" w:rsidRPr="00B95D0B" w:rsidRDefault="00B95D0B" w:rsidP="00B9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The objective of this report is to:</w:t>
      </w:r>
    </w:p>
    <w:p w:rsidR="00B95D0B" w:rsidRPr="00B95D0B" w:rsidRDefault="00B95D0B" w:rsidP="00B95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Assess profitability and operational performance</w:t>
      </w:r>
    </w:p>
    <w:p w:rsidR="00B95D0B" w:rsidRPr="00B95D0B" w:rsidRDefault="00B95D0B" w:rsidP="00B95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Evaluate financial position, liquidity, and solvency</w:t>
      </w:r>
    </w:p>
    <w:p w:rsidR="00B95D0B" w:rsidRPr="00B95D0B" w:rsidRDefault="00B95D0B" w:rsidP="00B95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Provide insights that support informed decision-making</w:t>
      </w:r>
    </w:p>
    <w:p w:rsidR="00B95D0B" w:rsidRPr="00B95D0B" w:rsidRDefault="00B95D0B" w:rsidP="00B9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The financial statements were prepared in accordance with generally accepted accounting principles and are intended for academic, analytical, and business evaluation purposes.</w:t>
      </w:r>
    </w:p>
    <w:p w:rsidR="00B95D0B" w:rsidRPr="00B95D0B" w:rsidRDefault="00D90251" w:rsidP="00B9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6" style="width:0;height:1.5pt" o:hralign="center" o:hrstd="t" o:hr="t" fillcolor="#a0a0a0" stroked="f"/>
        </w:pic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  <w:lang w:eastAsia="en-ZA"/>
        </w:rPr>
        <w:t>2. Scope and Methodology</w: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2.1 Scope of the Report</w:t>
      </w:r>
    </w:p>
    <w:p w:rsidR="00B95D0B" w:rsidRPr="00B95D0B" w:rsidRDefault="00B95D0B" w:rsidP="00B9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This report covers:</w:t>
      </w:r>
    </w:p>
    <w:p w:rsidR="00B95D0B" w:rsidRPr="00B95D0B" w:rsidRDefault="00B95D0B" w:rsidP="00B95D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Income Statement (Statement of Profit or Loss)</w:t>
      </w:r>
    </w:p>
    <w:p w:rsidR="00B95D0B" w:rsidRPr="00B95D0B" w:rsidRDefault="00B95D0B" w:rsidP="00B95D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Balance Sheet (Statement of Financial Position)</w:t>
      </w:r>
    </w:p>
    <w:p w:rsidR="00B95D0B" w:rsidRPr="00B95D0B" w:rsidRDefault="00B95D0B" w:rsidP="00B9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The analysis focuses on:</w:t>
      </w:r>
    </w:p>
    <w:p w:rsidR="00B95D0B" w:rsidRPr="00B95D0B" w:rsidRDefault="00B95D0B" w:rsidP="00B95D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Revenue and expense performance</w:t>
      </w:r>
    </w:p>
    <w:p w:rsidR="00B95D0B" w:rsidRPr="00B95D0B" w:rsidRDefault="00B95D0B" w:rsidP="00B95D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Asset, liability, and equity structure</w:t>
      </w:r>
    </w:p>
    <w:p w:rsidR="00B95D0B" w:rsidRPr="00B95D0B" w:rsidRDefault="00B95D0B" w:rsidP="00B95D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Overall financial health of the entity</w: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2.2 Methodology</w:t>
      </w:r>
    </w:p>
    <w:p w:rsidR="00B95D0B" w:rsidRPr="00B95D0B" w:rsidRDefault="00B95D0B" w:rsidP="00B95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Financial data was captured and processed using </w:t>
      </w: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Microsoft Excel</w:t>
      </w:r>
    </w:p>
    <w:p w:rsidR="00B95D0B" w:rsidRPr="00B95D0B" w:rsidRDefault="00B95D0B" w:rsidP="00B95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Formulas were applied to ensure accuracy and consistency</w:t>
      </w:r>
    </w:p>
    <w:p w:rsidR="00B95D0B" w:rsidRPr="00B95D0B" w:rsidRDefault="00B95D0B" w:rsidP="00B95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Final financial statements were exported into </w:t>
      </w: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PDF format</w:t>
      </w:r>
    </w:p>
    <w:p w:rsidR="00B95D0B" w:rsidRPr="00B95D0B" w:rsidRDefault="00B95D0B" w:rsidP="00B95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Analysis was conducted using financial ratios, trend evaluation, and professional judgment</w:t>
      </w:r>
    </w:p>
    <w:p w:rsidR="00B95D0B" w:rsidRPr="00B95D0B" w:rsidRDefault="00D90251" w:rsidP="00B9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7" style="width:0;height:1.5pt" o:hralign="center" o:hrstd="t" o:hr="t" fillcolor="#a0a0a0" stroked="f"/>
        </w:pic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  <w:lang w:eastAsia="en-ZA"/>
        </w:rPr>
        <w:t>3. Income Statement Analysis</w: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3.1 Overview</w:t>
      </w:r>
    </w:p>
    <w:p w:rsidR="00B95D0B" w:rsidRPr="00B95D0B" w:rsidRDefault="00B95D0B" w:rsidP="00B9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The Income Statement summarizes the company’s financial performance over the reporting period by matching revenues against expenses to determine profitability.</w:t>
      </w:r>
    </w:p>
    <w:p w:rsidR="00B95D0B" w:rsidRPr="00B95D0B" w:rsidRDefault="00B95D0B" w:rsidP="00B9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object w:dxaOrig="2775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69.5pt;height:47.25pt" o:ole="">
            <v:imagedata r:id="rId7" o:title=""/>
          </v:shape>
          <o:OLEObject Type="Embed" ProgID="Package" ShapeID="_x0000_i1028" DrawAspect="Content" ObjectID="_1828818222" r:id="rId8"/>
        </w:object>
      </w: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</w: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3.2 Revenue Performance</w:t>
      </w:r>
    </w:p>
    <w:p w:rsidR="00B95D0B" w:rsidRPr="00B95D0B" w:rsidRDefault="00B95D0B" w:rsidP="00B95D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Revenue represents income generated from the company’s core operations</w:t>
      </w:r>
    </w:p>
    <w:p w:rsidR="00B95D0B" w:rsidRPr="00B95D0B" w:rsidRDefault="00B95D0B" w:rsidP="00B95D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The level of revenue indicates market activity and operational scale</w:t>
      </w:r>
    </w:p>
    <w:p w:rsidR="00B95D0B" w:rsidRPr="00B95D0B" w:rsidRDefault="00B95D0B" w:rsidP="00B95D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Any increases or decreases reflect changes in sales volume, pricing, or demand</w: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3.3 Expense Analysis</w:t>
      </w:r>
    </w:p>
    <w:p w:rsidR="00B95D0B" w:rsidRPr="00B95D0B" w:rsidRDefault="00B95D0B" w:rsidP="00B95D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Expenses include cost of sales, operating expenses, and administrative costs</w:t>
      </w:r>
    </w:p>
    <w:p w:rsidR="00B95D0B" w:rsidRPr="00B95D0B" w:rsidRDefault="00B95D0B" w:rsidP="00B95D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Effective expense management is critical to maintaining profitability</w:t>
      </w:r>
    </w:p>
    <w:p w:rsidR="00B95D0B" w:rsidRPr="00B95D0B" w:rsidRDefault="00B95D0B" w:rsidP="00B95D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Major cost drivers should be monitored to improve efficiency</w: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3.4 Profitability Assessment</w:t>
      </w:r>
    </w:p>
    <w:p w:rsidR="00B95D0B" w:rsidRPr="00B95D0B" w:rsidRDefault="00B95D0B" w:rsidP="00B95D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Gross Profit</w:t>
      </w: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reflects production or service efficiency</w:t>
      </w:r>
    </w:p>
    <w:p w:rsidR="00B95D0B" w:rsidRPr="00B95D0B" w:rsidRDefault="00B95D0B" w:rsidP="00B95D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Operating Profit</w:t>
      </w: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indicates operational performance</w:t>
      </w:r>
    </w:p>
    <w:p w:rsidR="00B95D0B" w:rsidRPr="00B95D0B" w:rsidRDefault="00B95D0B" w:rsidP="00B95D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Net Profit</w:t>
      </w: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represents the final financial outcome after all expenses</w:t>
      </w:r>
    </w:p>
    <w:p w:rsidR="00B95D0B" w:rsidRPr="00B95D0B" w:rsidRDefault="00B95D0B" w:rsidP="00B9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A positive net profit indicates sustainable operations, while a loss highlights areas requiring cost control or revenue enhancement.</w:t>
      </w:r>
    </w:p>
    <w:p w:rsidR="00B95D0B" w:rsidRPr="00B95D0B" w:rsidRDefault="00D90251" w:rsidP="00B9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9" style="width:0;height:1.5pt" o:hralign="center" o:hrstd="t" o:hr="t" fillcolor="#a0a0a0" stroked="f"/>
        </w:pic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  <w:lang w:eastAsia="en-ZA"/>
        </w:rPr>
        <w:t>4. Balance Sheet Analysis</w: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4.1 Overview</w:t>
      </w:r>
    </w:p>
    <w:p w:rsidR="00B95D0B" w:rsidRPr="00B95D0B" w:rsidRDefault="00B95D0B" w:rsidP="00B9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The Balance Sheet presents the financial position of the entity at a specific date, showing assets, liabilities, and equity.</w:t>
      </w:r>
    </w:p>
    <w:p w:rsidR="00B95D0B" w:rsidRPr="00B95D0B" w:rsidRDefault="00B95D0B" w:rsidP="00B9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object w:dxaOrig="2341" w:dyaOrig="811">
          <v:shape id="_x0000_i1030" type="#_x0000_t75" style="width:117pt;height:40.5pt" o:ole="">
            <v:imagedata r:id="rId9" o:title=""/>
          </v:shape>
          <o:OLEObject Type="Embed" ProgID="Package" ShapeID="_x0000_i1030" DrawAspect="Content" ObjectID="_1828818223" r:id="rId10"/>
        </w:objec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4.2 Asset Structure</w:t>
      </w:r>
    </w:p>
    <w:p w:rsidR="00B95D0B" w:rsidRPr="00B95D0B" w:rsidRDefault="00B95D0B" w:rsidP="00B95D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Assets are categorized into </w:t>
      </w: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current</w:t>
      </w: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</w:t>
      </w: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non-current</w:t>
      </w:r>
    </w:p>
    <w:p w:rsidR="00B95D0B" w:rsidRPr="00B95D0B" w:rsidRDefault="00B95D0B" w:rsidP="00B95D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Current assets support short-term operations and liquidity</w:t>
      </w:r>
    </w:p>
    <w:p w:rsidR="00B95D0B" w:rsidRPr="00B95D0B" w:rsidRDefault="00B95D0B" w:rsidP="00B95D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Non-current assets reflect long-term investment and operational capacity</w: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4.3 Liabilities Analysis</w:t>
      </w:r>
    </w:p>
    <w:p w:rsidR="00B95D0B" w:rsidRPr="00B95D0B" w:rsidRDefault="00B95D0B" w:rsidP="00B95D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Current liabilities represent short-term obligations</w:t>
      </w:r>
    </w:p>
    <w:p w:rsidR="00B95D0B" w:rsidRPr="00B95D0B" w:rsidRDefault="00B95D0B" w:rsidP="00B95D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Non-current liabilities indicate long-term financial commitments</w:t>
      </w:r>
    </w:p>
    <w:p w:rsidR="00B95D0B" w:rsidRPr="00B95D0B" w:rsidRDefault="00B95D0B" w:rsidP="00B95D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A balanced liability structure enhances financial stability</w: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4.4 Equity Position</w:t>
      </w:r>
    </w:p>
    <w:p w:rsidR="00B95D0B" w:rsidRPr="00B95D0B" w:rsidRDefault="00B95D0B" w:rsidP="00B95D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Equity represents the owner’s residual interest in the business</w:t>
      </w:r>
    </w:p>
    <w:p w:rsidR="00B95D0B" w:rsidRPr="00B95D0B" w:rsidRDefault="00B95D0B" w:rsidP="00B95D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Growth in equity suggests profitability and retained earnings</w:t>
      </w:r>
    </w:p>
    <w:p w:rsidR="00B95D0B" w:rsidRPr="00B95D0B" w:rsidRDefault="00B95D0B" w:rsidP="00B95D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A strong equity base improves solvency and investor confidence</w:t>
      </w:r>
    </w:p>
    <w:p w:rsidR="00B95D0B" w:rsidRPr="00B95D0B" w:rsidRDefault="00D90251" w:rsidP="00B9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1" style="width:0;height:1.5pt" o:hralign="center" o:hrstd="t" o:hr="t" fillcolor="#a0a0a0" stroked="f"/>
        </w:pic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  <w:lang w:eastAsia="en-ZA"/>
        </w:rPr>
        <w:t>5. Financial Ratio Analysis</w: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5.1 Liquidity Ratios</w:t>
      </w:r>
    </w:p>
    <w:p w:rsidR="00B95D0B" w:rsidRPr="00B95D0B" w:rsidRDefault="00B95D0B" w:rsidP="00B95D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Current Ratio</w:t>
      </w: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assesses the company’s ability to meet short-term obligations</w:t>
      </w:r>
    </w:p>
    <w:p w:rsidR="00B95D0B" w:rsidRPr="00B95D0B" w:rsidRDefault="00B95D0B" w:rsidP="00B95D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A ratio above 1 indicates adequate liquidity</w: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5.2 Profitability Ratios</w:t>
      </w:r>
    </w:p>
    <w:p w:rsidR="00B95D0B" w:rsidRPr="00B95D0B" w:rsidRDefault="00B95D0B" w:rsidP="00B95D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Net Profit Margin</w:t>
      </w: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measures profit earned from each unit of revenue</w:t>
      </w:r>
    </w:p>
    <w:p w:rsidR="00B95D0B" w:rsidRPr="00B95D0B" w:rsidRDefault="00B95D0B" w:rsidP="00B95D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Higher margins indicate effective cost management</w: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5.3 Solvency Ratios</w:t>
      </w:r>
    </w:p>
    <w:p w:rsidR="00B95D0B" w:rsidRPr="00B95D0B" w:rsidRDefault="00B95D0B" w:rsidP="00B95D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Debt-to-Equity Ratio</w:t>
      </w: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evaluates financial risk and capital structure</w:t>
      </w:r>
    </w:p>
    <w:p w:rsidR="00B95D0B" w:rsidRPr="00B95D0B" w:rsidRDefault="00B95D0B" w:rsidP="00B95D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Lower ratios suggest lower reliance on external financing</w:t>
      </w:r>
    </w:p>
    <w:p w:rsidR="00B95D0B" w:rsidRPr="00B95D0B" w:rsidRDefault="00D90251" w:rsidP="00B9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2" style="width:0;height:1.5pt" o:hralign="center" o:hrstd="t" o:hr="t" fillcolor="#a0a0a0" stroked="f"/>
        </w:pic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  <w:lang w:eastAsia="en-ZA"/>
        </w:rPr>
        <w:t>6. Key Findings</w:t>
      </w:r>
    </w:p>
    <w:p w:rsidR="00B95D0B" w:rsidRPr="00B95D0B" w:rsidRDefault="00B95D0B" w:rsidP="00B95D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The company demonstrates [strong/moderate/weak] profitability</w:t>
      </w:r>
    </w:p>
    <w:p w:rsidR="00B95D0B" w:rsidRPr="00B95D0B" w:rsidRDefault="00B95D0B" w:rsidP="00B95D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Liquidity levels are [adequate/insufficient/excessive]</w:t>
      </w:r>
    </w:p>
    <w:p w:rsidR="00B95D0B" w:rsidRPr="00B95D0B" w:rsidRDefault="00B95D0B" w:rsidP="00B95D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The asset base supports ongoing operations</w:t>
      </w:r>
    </w:p>
    <w:p w:rsidR="00B95D0B" w:rsidRPr="00B95D0B" w:rsidRDefault="00B95D0B" w:rsidP="00B95D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Financial leverage is within acceptable limits</w:t>
      </w:r>
    </w:p>
    <w:p w:rsidR="00B95D0B" w:rsidRPr="00B95D0B" w:rsidRDefault="00B95D0B" w:rsidP="00B9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These findings indicate the overall financial health and sustainability of the entity.</w:t>
      </w:r>
    </w:p>
    <w:p w:rsidR="00B95D0B" w:rsidRPr="00B95D0B" w:rsidRDefault="00D90251" w:rsidP="00B9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3" style="width:0;height:1.5pt" o:hralign="center" o:hrstd="t" o:hr="t" fillcolor="#a0a0a0" stroked="f"/>
        </w:pic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  <w:lang w:eastAsia="en-ZA"/>
        </w:rPr>
        <w:t>7. Recommendations</w:t>
      </w:r>
    </w:p>
    <w:p w:rsidR="00B95D0B" w:rsidRPr="00B95D0B" w:rsidRDefault="00B95D0B" w:rsidP="00B9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Based on the analysis, the following recommendations are made:</w:t>
      </w:r>
    </w:p>
    <w:p w:rsidR="00B95D0B" w:rsidRPr="00B95D0B" w:rsidRDefault="00B95D0B" w:rsidP="00B95D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Improve cost control to enhance profitability</w:t>
      </w:r>
    </w:p>
    <w:p w:rsidR="00B95D0B" w:rsidRPr="00B95D0B" w:rsidRDefault="00B95D0B" w:rsidP="00B95D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Strengthen liquidity management for operational stability</w:t>
      </w:r>
    </w:p>
    <w:p w:rsidR="00B95D0B" w:rsidRPr="00B95D0B" w:rsidRDefault="00B95D0B" w:rsidP="00B95D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Optimize asset utilization to improve returns</w:t>
      </w:r>
    </w:p>
    <w:p w:rsidR="00B95D0B" w:rsidRPr="00B95D0B" w:rsidRDefault="00B95D0B" w:rsidP="00B95D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Maintain an appropriate balance between debt and equity</w:t>
      </w:r>
    </w:p>
    <w:p w:rsidR="00B95D0B" w:rsidRPr="00B95D0B" w:rsidRDefault="00D90251" w:rsidP="00B9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4" style="width:0;height:1.5pt" o:hralign="center" o:hrstd="t" o:hr="t" fillcolor="#a0a0a0" stroked="f"/>
        </w:pic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  <w:lang w:eastAsia="en-ZA"/>
        </w:rPr>
        <w:t>8. Limitations of the Report</w:t>
      </w:r>
    </w:p>
    <w:p w:rsidR="00B95D0B" w:rsidRPr="00B95D0B" w:rsidRDefault="00B95D0B" w:rsidP="00B95D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The analysis is based solely on provided financial data</w:t>
      </w:r>
    </w:p>
    <w:p w:rsidR="00B95D0B" w:rsidRPr="00B95D0B" w:rsidRDefault="00B95D0B" w:rsidP="00B95D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No external market or economic factors were considered</w:t>
      </w:r>
    </w:p>
    <w:p w:rsidR="00B95D0B" w:rsidRPr="00B95D0B" w:rsidRDefault="00B95D0B" w:rsidP="00B95D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The report does not replace a statutory audit</w:t>
      </w:r>
    </w:p>
    <w:p w:rsidR="00B95D0B" w:rsidRPr="00B95D0B" w:rsidRDefault="00D90251" w:rsidP="00B9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5" style="width:0;height:1.5pt" o:hralign="center" o:hrstd="t" o:hr="t" fillcolor="#a0a0a0" stroked="f"/>
        </w:pic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u w:val="single"/>
          <w:lang w:eastAsia="en-ZA"/>
        </w:rPr>
        <w:t>9. Conclusion</w:t>
      </w:r>
    </w:p>
    <w:p w:rsidR="00B95D0B" w:rsidRPr="00B95D0B" w:rsidRDefault="00B95D0B" w:rsidP="00B9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The financial statements provide valuable insight into the company’s financial performance and position. Overall, the entity demonstrates a financial structure capable of supporting its operations, with opportunities for improvement through enhanced financial management and strategic planning.</w:t>
      </w:r>
    </w:p>
    <w:p w:rsidR="00B95D0B" w:rsidRPr="00B95D0B" w:rsidRDefault="00B95D0B" w:rsidP="00B9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>This report serves as a reliable reference for academic evaluation, portfolio demonstration, and business decision-making.</w:t>
      </w:r>
    </w:p>
    <w:p w:rsidR="00B95D0B" w:rsidRPr="00B95D0B" w:rsidRDefault="00D90251" w:rsidP="00B9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6" style="width:0;height:1.5pt" o:hralign="center" o:hrstd="t" o:hr="t" fillcolor="#a0a0a0" stroked="f"/>
        </w:pict>
      </w:r>
    </w:p>
    <w:p w:rsidR="00B95D0B" w:rsidRPr="00B95D0B" w:rsidRDefault="00B95D0B" w:rsidP="00B9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10. Appendices</w:t>
      </w:r>
    </w:p>
    <w:p w:rsidR="00B95D0B" w:rsidRPr="00B95D0B" w:rsidRDefault="00B95D0B" w:rsidP="00B95D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Appendix A:</w:t>
      </w: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Income Statement (PDF)</w:t>
      </w:r>
    </w:p>
    <w:p w:rsidR="00B95D0B" w:rsidRPr="00B95D0B" w:rsidRDefault="00B95D0B" w:rsidP="00B95D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95D0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Appendix B:</w:t>
      </w:r>
      <w:r w:rsidRPr="00B95D0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Balance Sheet (PDF)</w:t>
      </w:r>
    </w:p>
    <w:p w:rsidR="001F6329" w:rsidRDefault="001F6329"/>
    <w:sectPr w:rsidR="001F6329" w:rsidSect="00B95D0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131D" w:rsidRDefault="000E131D" w:rsidP="0091388C">
      <w:pPr>
        <w:spacing w:after="0" w:line="240" w:lineRule="auto"/>
      </w:pPr>
      <w:r>
        <w:separator/>
      </w:r>
    </w:p>
  </w:endnote>
  <w:endnote w:type="continuationSeparator" w:id="0">
    <w:p w:rsidR="000E131D" w:rsidRDefault="000E131D" w:rsidP="0091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88C" w:rsidRDefault="009138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88C" w:rsidRDefault="009138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88C" w:rsidRDefault="009138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131D" w:rsidRDefault="000E131D" w:rsidP="0091388C">
      <w:pPr>
        <w:spacing w:after="0" w:line="240" w:lineRule="auto"/>
      </w:pPr>
      <w:r>
        <w:separator/>
      </w:r>
    </w:p>
  </w:footnote>
  <w:footnote w:type="continuationSeparator" w:id="0">
    <w:p w:rsidR="000E131D" w:rsidRDefault="000E131D" w:rsidP="0091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88C" w:rsidRDefault="009138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0765062"/>
      <w:docPartObj>
        <w:docPartGallery w:val="Watermarks"/>
        <w:docPartUnique/>
      </w:docPartObj>
    </w:sdtPr>
    <w:sdtEndPr/>
    <w:sdtContent>
      <w:p w:rsidR="0091388C" w:rsidRDefault="00D90251">
        <w:pPr>
          <w:pStyle w:val="Header"/>
        </w:pPr>
        <w:r>
          <w:rPr>
            <w:noProof/>
            <w:lang w:val="en-US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50533" o:spid="_x0000_s2049" type="#_x0000_t136" style="position:absolute;margin-left:0;margin-top:0;width:489.45pt;height:146.8pt;rotation:315;z-index:-251658752;mso-position-horizontal:center;mso-position-horizontal-relative:margin;mso-position-vertical:center;mso-position-vertical-relative:margin" o:allowincell="f" fillcolor="#5a5a5a [2109]" stroked="f">
              <v:fill opacity=".5"/>
              <v:textpath style="font-family:&quot;Calibri&quot;;font-size:1pt" string="ROYAL TOUCH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88C" w:rsidRDefault="009138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60849"/>
    <w:multiLevelType w:val="multilevel"/>
    <w:tmpl w:val="2726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9362A"/>
    <w:multiLevelType w:val="multilevel"/>
    <w:tmpl w:val="6D64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953D8"/>
    <w:multiLevelType w:val="multilevel"/>
    <w:tmpl w:val="7E82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D1094"/>
    <w:multiLevelType w:val="multilevel"/>
    <w:tmpl w:val="677A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5474D9"/>
    <w:multiLevelType w:val="multilevel"/>
    <w:tmpl w:val="F91E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2411C"/>
    <w:multiLevelType w:val="multilevel"/>
    <w:tmpl w:val="35E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36820"/>
    <w:multiLevelType w:val="multilevel"/>
    <w:tmpl w:val="A6D8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62596"/>
    <w:multiLevelType w:val="multilevel"/>
    <w:tmpl w:val="46F6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A14AA"/>
    <w:multiLevelType w:val="multilevel"/>
    <w:tmpl w:val="062C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06C8D"/>
    <w:multiLevelType w:val="multilevel"/>
    <w:tmpl w:val="3E48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03752"/>
    <w:multiLevelType w:val="multilevel"/>
    <w:tmpl w:val="2ABC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C28D3"/>
    <w:multiLevelType w:val="multilevel"/>
    <w:tmpl w:val="DC70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C5165"/>
    <w:multiLevelType w:val="multilevel"/>
    <w:tmpl w:val="D22A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04640"/>
    <w:multiLevelType w:val="multilevel"/>
    <w:tmpl w:val="8E4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23232"/>
    <w:multiLevelType w:val="multilevel"/>
    <w:tmpl w:val="B7B8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B031A"/>
    <w:multiLevelType w:val="multilevel"/>
    <w:tmpl w:val="42C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F2CEC"/>
    <w:multiLevelType w:val="multilevel"/>
    <w:tmpl w:val="2AC4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4"/>
  </w:num>
  <w:num w:numId="4">
    <w:abstractNumId w:val="7"/>
  </w:num>
  <w:num w:numId="5">
    <w:abstractNumId w:val="12"/>
  </w:num>
  <w:num w:numId="6">
    <w:abstractNumId w:val="10"/>
  </w:num>
  <w:num w:numId="7">
    <w:abstractNumId w:val="6"/>
  </w:num>
  <w:num w:numId="8">
    <w:abstractNumId w:val="9"/>
  </w:num>
  <w:num w:numId="9">
    <w:abstractNumId w:val="11"/>
  </w:num>
  <w:num w:numId="10">
    <w:abstractNumId w:val="8"/>
  </w:num>
  <w:num w:numId="11">
    <w:abstractNumId w:val="1"/>
  </w:num>
  <w:num w:numId="12">
    <w:abstractNumId w:val="13"/>
  </w:num>
  <w:num w:numId="13">
    <w:abstractNumId w:val="2"/>
  </w:num>
  <w:num w:numId="14">
    <w:abstractNumId w:val="5"/>
  </w:num>
  <w:num w:numId="15">
    <w:abstractNumId w:val="3"/>
  </w:num>
  <w:num w:numId="16">
    <w:abstractNumId w:val="1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D0B"/>
    <w:rsid w:val="000E131D"/>
    <w:rsid w:val="001F6329"/>
    <w:rsid w:val="0091388C"/>
    <w:rsid w:val="00B95D0B"/>
    <w:rsid w:val="00C74350"/>
    <w:rsid w:val="00D9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5:chartTrackingRefBased/>
  <w15:docId w15:val="{557CB364-17FE-4039-8B44-AFC49A918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5D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B95D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B95D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D0B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B95D0B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B95D0B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styleId="Strong">
    <w:name w:val="Strong"/>
    <w:basedOn w:val="DefaultParagraphFont"/>
    <w:uiPriority w:val="22"/>
    <w:qFormat/>
    <w:rsid w:val="00B95D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5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Header">
    <w:name w:val="header"/>
    <w:basedOn w:val="Normal"/>
    <w:link w:val="HeaderChar"/>
    <w:uiPriority w:val="99"/>
    <w:unhideWhenUsed/>
    <w:rsid w:val="00913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88C"/>
  </w:style>
  <w:style w:type="paragraph" w:styleId="Footer">
    <w:name w:val="footer"/>
    <w:basedOn w:val="Normal"/>
    <w:link w:val="FooterChar"/>
    <w:uiPriority w:val="99"/>
    <w:unhideWhenUsed/>
    <w:rsid w:val="00913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Tichaona Eddington Banda</dc:creator>
  <cp:keywords/>
  <dc:description/>
  <cp:lastModifiedBy>Tichaona Eddington Banda</cp:lastModifiedBy>
  <cp:revision>2</cp:revision>
  <cp:lastPrinted>2026-01-01T12:08:00Z</cp:lastPrinted>
  <dcterms:created xsi:type="dcterms:W3CDTF">2026-01-01T11:56:00Z</dcterms:created>
  <dcterms:modified xsi:type="dcterms:W3CDTF">2026-01-01T18:47:00Z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