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C78" w:rsidRDefault="002C0C78"/>
    <w:p w:rsidR="005374BB" w:rsidRDefault="005374BB">
      <w:hyperlink r:id="rId7" w:history="1">
        <w:r w:rsidRPr="00BD3A33">
          <w:rPr>
            <w:rStyle w:val="a7"/>
          </w:rPr>
          <w:t>https://www.investopedia.com/articles/investing/030116/topdown-vs-bottomup.asp</w:t>
        </w:r>
      </w:hyperlink>
    </w:p>
    <w:p w:rsidR="005374BB" w:rsidRDefault="005374BB">
      <w:bookmarkStart w:id="0" w:name="_GoBack"/>
      <w:bookmarkEnd w:id="0"/>
    </w:p>
    <w:p w:rsidR="005374BB" w:rsidRPr="005374BB" w:rsidRDefault="005374BB" w:rsidP="005374BB">
      <w:pPr>
        <w:spacing w:before="100" w:beforeAutospacing="1" w:after="100" w:afterAutospacing="1" w:line="240" w:lineRule="auto"/>
        <w:outlineLvl w:val="0"/>
        <w:rPr>
          <w:rFonts w:ascii="Times New Roman" w:eastAsia="Times New Roman" w:hAnsi="Times New Roman" w:cs="Times New Roman"/>
          <w:kern w:val="36"/>
          <w:sz w:val="48"/>
          <w:szCs w:val="48"/>
        </w:rPr>
      </w:pPr>
      <w:r w:rsidRPr="005374BB">
        <w:rPr>
          <w:rFonts w:ascii="Times New Roman" w:eastAsia="Times New Roman" w:hAnsi="Times New Roman" w:cs="Times New Roman"/>
          <w:kern w:val="36"/>
          <w:sz w:val="48"/>
          <w:szCs w:val="48"/>
        </w:rPr>
        <w:t>Top-Down vs. Bottom-Up: What's the Difference?</w:t>
      </w:r>
    </w:p>
    <w:p w:rsidR="005374BB" w:rsidRPr="005374BB" w:rsidRDefault="005374BB" w:rsidP="005374BB">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5374BB">
        <w:rPr>
          <w:rFonts w:ascii="Times New Roman" w:eastAsia="Times New Roman" w:hAnsi="Times New Roman" w:cs="Times New Roman"/>
          <w:sz w:val="24"/>
          <w:szCs w:val="24"/>
        </w:rPr>
        <w:t>FACEBOOK</w:t>
      </w:r>
    </w:p>
    <w:p w:rsidR="005374BB" w:rsidRPr="005374BB" w:rsidRDefault="005374BB" w:rsidP="005374BB">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5374BB">
        <w:rPr>
          <w:rFonts w:ascii="Times New Roman" w:eastAsia="Times New Roman" w:hAnsi="Times New Roman" w:cs="Times New Roman"/>
          <w:sz w:val="24"/>
          <w:szCs w:val="24"/>
        </w:rPr>
        <w:t>TWITTER</w:t>
      </w:r>
    </w:p>
    <w:p w:rsidR="005374BB" w:rsidRPr="005374BB" w:rsidRDefault="005374BB" w:rsidP="005374BB">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5374BB">
        <w:rPr>
          <w:rFonts w:ascii="Times New Roman" w:eastAsia="Times New Roman" w:hAnsi="Times New Roman" w:cs="Times New Roman"/>
          <w:sz w:val="24"/>
          <w:szCs w:val="24"/>
        </w:rPr>
        <w:t>LINKEDIN</w:t>
      </w:r>
    </w:p>
    <w:p w:rsidR="005374BB" w:rsidRPr="005374BB" w:rsidRDefault="005374BB" w:rsidP="005374BB">
      <w:pPr>
        <w:spacing w:after="0" w:line="240" w:lineRule="auto"/>
        <w:textAlignment w:val="baseline"/>
        <w:rPr>
          <w:rFonts w:ascii="Times New Roman" w:eastAsia="Times New Roman" w:hAnsi="Times New Roman" w:cs="Times New Roman"/>
          <w:sz w:val="24"/>
          <w:szCs w:val="24"/>
        </w:rPr>
      </w:pPr>
      <w:r w:rsidRPr="005374BB">
        <w:rPr>
          <w:rFonts w:ascii="Times New Roman" w:eastAsia="Times New Roman" w:hAnsi="Times New Roman" w:cs="Times New Roman"/>
          <w:sz w:val="24"/>
          <w:szCs w:val="24"/>
        </w:rPr>
        <w:t>By </w:t>
      </w:r>
      <w:hyperlink r:id="rId8" w:history="1">
        <w:r w:rsidRPr="005374BB">
          <w:rPr>
            <w:rFonts w:ascii="Arial" w:eastAsia="Times New Roman" w:hAnsi="Arial" w:cs="Arial"/>
            <w:caps/>
            <w:color w:val="111111"/>
            <w:sz w:val="24"/>
            <w:szCs w:val="24"/>
          </w:rPr>
          <w:t>INVESTOPEDIA</w:t>
        </w:r>
      </w:hyperlink>
    </w:p>
    <w:p w:rsidR="005374BB" w:rsidRPr="005374BB" w:rsidRDefault="005374BB" w:rsidP="005374BB">
      <w:pPr>
        <w:spacing w:after="0" w:line="240" w:lineRule="auto"/>
        <w:textAlignment w:val="baseline"/>
        <w:rPr>
          <w:rFonts w:ascii="Times New Roman" w:eastAsia="Times New Roman" w:hAnsi="Times New Roman" w:cs="Times New Roman"/>
          <w:sz w:val="24"/>
          <w:szCs w:val="24"/>
        </w:rPr>
      </w:pPr>
      <w:r w:rsidRPr="005374BB">
        <w:rPr>
          <w:rFonts w:ascii="Times New Roman" w:eastAsia="Times New Roman" w:hAnsi="Times New Roman" w:cs="Times New Roman"/>
          <w:sz w:val="24"/>
          <w:szCs w:val="24"/>
        </w:rPr>
        <w:t> Updated Jun 25, 2019</w:t>
      </w:r>
    </w:p>
    <w:p w:rsidR="005374BB" w:rsidRPr="005374BB" w:rsidRDefault="005374BB" w:rsidP="005374BB">
      <w:pPr>
        <w:shd w:val="clear" w:color="auto" w:fill="FFFFFF"/>
        <w:spacing w:after="0" w:line="240" w:lineRule="auto"/>
        <w:outlineLvl w:val="1"/>
        <w:rPr>
          <w:rFonts w:ascii="Arial" w:eastAsia="Times New Roman" w:hAnsi="Arial" w:cs="Arial"/>
          <w:color w:val="111111"/>
          <w:sz w:val="36"/>
          <w:szCs w:val="36"/>
        </w:rPr>
      </w:pPr>
      <w:r w:rsidRPr="005374BB">
        <w:rPr>
          <w:rFonts w:ascii="Arial" w:eastAsia="Times New Roman" w:hAnsi="Arial" w:cs="Arial"/>
          <w:color w:val="111111"/>
          <w:sz w:val="36"/>
          <w:szCs w:val="36"/>
        </w:rPr>
        <w:t>Top-Down vs. Bottom-Up: An Overview</w:t>
      </w:r>
    </w:p>
    <w:p w:rsidR="005374BB" w:rsidRPr="005374BB" w:rsidRDefault="005374BB" w:rsidP="005374BB">
      <w:pPr>
        <w:shd w:val="clear" w:color="auto" w:fill="FFFFFF"/>
        <w:spacing w:after="100" w:afterAutospacing="1" w:line="240" w:lineRule="auto"/>
        <w:rPr>
          <w:rFonts w:ascii="Arial" w:eastAsia="Times New Roman" w:hAnsi="Arial" w:cs="Arial"/>
          <w:color w:val="111111"/>
          <w:sz w:val="26"/>
          <w:szCs w:val="26"/>
        </w:rPr>
      </w:pPr>
      <w:r w:rsidRPr="005374BB">
        <w:rPr>
          <w:rFonts w:ascii="Arial" w:eastAsia="Times New Roman" w:hAnsi="Arial" w:cs="Arial"/>
          <w:color w:val="111111"/>
          <w:sz w:val="26"/>
          <w:szCs w:val="26"/>
        </w:rPr>
        <w:t>Top-down and bottom-up approaches are methods used to analyze and choose securities. However, the terms also appear in many other areas of business, finance, investing, and economics. While the two schemes are common terms, many investors get them confused or don't fully understand the different approaches at all.</w:t>
      </w:r>
    </w:p>
    <w:p w:rsidR="005374BB" w:rsidRPr="005374BB" w:rsidRDefault="005374BB" w:rsidP="005374BB">
      <w:pPr>
        <w:shd w:val="clear" w:color="auto" w:fill="FFFFFF"/>
        <w:spacing w:after="100" w:afterAutospacing="1" w:line="240" w:lineRule="auto"/>
        <w:rPr>
          <w:rFonts w:ascii="Arial" w:eastAsia="Times New Roman" w:hAnsi="Arial" w:cs="Arial"/>
          <w:color w:val="111111"/>
          <w:sz w:val="26"/>
          <w:szCs w:val="26"/>
        </w:rPr>
      </w:pPr>
      <w:r w:rsidRPr="005374BB">
        <w:rPr>
          <w:rFonts w:ascii="Arial" w:eastAsia="Times New Roman" w:hAnsi="Arial" w:cs="Arial"/>
          <w:color w:val="111111"/>
          <w:sz w:val="26"/>
          <w:szCs w:val="26"/>
        </w:rPr>
        <w:t>Generally, each can be quite simple. The top-down approach goes from the general to the specific, and the bottom-up approach begins at the specific and moves to the general.</w:t>
      </w:r>
    </w:p>
    <w:p w:rsidR="005374BB" w:rsidRPr="005374BB" w:rsidRDefault="005374BB" w:rsidP="005374BB">
      <w:pPr>
        <w:shd w:val="clear" w:color="auto" w:fill="FFFFFF"/>
        <w:spacing w:after="100" w:afterAutospacing="1" w:line="240" w:lineRule="auto"/>
        <w:rPr>
          <w:rFonts w:ascii="Arial" w:eastAsia="Times New Roman" w:hAnsi="Arial" w:cs="Arial"/>
          <w:color w:val="111111"/>
          <w:sz w:val="26"/>
          <w:szCs w:val="26"/>
        </w:rPr>
      </w:pPr>
      <w:r w:rsidRPr="005374BB">
        <w:rPr>
          <w:rFonts w:ascii="Arial" w:eastAsia="Times New Roman" w:hAnsi="Arial" w:cs="Arial"/>
          <w:color w:val="111111"/>
          <w:sz w:val="26"/>
          <w:szCs w:val="26"/>
        </w:rPr>
        <w:t>Comprehensively these methods can be possible approaches for a wide range of endeavors such as goal setting, </w:t>
      </w:r>
      <w:hyperlink r:id="rId9" w:history="1">
        <w:r w:rsidRPr="005374BB">
          <w:rPr>
            <w:rFonts w:ascii="Arial" w:eastAsia="Times New Roman" w:hAnsi="Arial" w:cs="Arial"/>
            <w:color w:val="2C40D0"/>
            <w:sz w:val="26"/>
            <w:szCs w:val="26"/>
            <w:u w:val="single"/>
          </w:rPr>
          <w:t>budgeting, and forecasting</w:t>
        </w:r>
      </w:hyperlink>
      <w:r w:rsidRPr="005374BB">
        <w:rPr>
          <w:rFonts w:ascii="Arial" w:eastAsia="Times New Roman" w:hAnsi="Arial" w:cs="Arial"/>
          <w:color w:val="111111"/>
          <w:sz w:val="26"/>
          <w:szCs w:val="26"/>
        </w:rPr>
        <w:t>. However, in the financial world, analysts or whole regimes may be tasked with focusing on one over the other so understanding the nuances of both is important.</w:t>
      </w:r>
    </w:p>
    <w:p w:rsidR="005374BB" w:rsidRPr="005374BB" w:rsidRDefault="005374BB" w:rsidP="005374BB">
      <w:pPr>
        <w:shd w:val="clear" w:color="auto" w:fill="FFFFFF"/>
        <w:spacing w:after="0" w:line="240" w:lineRule="auto"/>
        <w:outlineLvl w:val="2"/>
        <w:rPr>
          <w:rFonts w:ascii="Arial" w:eastAsia="Times New Roman" w:hAnsi="Arial" w:cs="Arial"/>
          <w:caps/>
          <w:color w:val="111111"/>
          <w:sz w:val="27"/>
          <w:szCs w:val="27"/>
        </w:rPr>
      </w:pPr>
      <w:r w:rsidRPr="005374BB">
        <w:rPr>
          <w:rFonts w:ascii="Arial" w:eastAsia="Times New Roman" w:hAnsi="Arial" w:cs="Arial"/>
          <w:caps/>
          <w:color w:val="111111"/>
          <w:sz w:val="27"/>
          <w:szCs w:val="27"/>
        </w:rPr>
        <w:t>KEY TAKEAWAYS</w:t>
      </w:r>
    </w:p>
    <w:p w:rsidR="005374BB" w:rsidRPr="005374BB" w:rsidRDefault="005374BB" w:rsidP="005374BB">
      <w:pPr>
        <w:numPr>
          <w:ilvl w:val="0"/>
          <w:numId w:val="2"/>
        </w:numPr>
        <w:shd w:val="clear" w:color="auto" w:fill="FFFFFF"/>
        <w:spacing w:before="100" w:beforeAutospacing="1" w:after="100" w:afterAutospacing="1" w:line="240" w:lineRule="auto"/>
        <w:rPr>
          <w:rFonts w:ascii="Arial" w:eastAsia="Times New Roman" w:hAnsi="Arial" w:cs="Arial"/>
          <w:color w:val="111111"/>
          <w:sz w:val="26"/>
          <w:szCs w:val="26"/>
        </w:rPr>
      </w:pPr>
      <w:r w:rsidRPr="005374BB">
        <w:rPr>
          <w:rFonts w:ascii="Arial" w:eastAsia="Times New Roman" w:hAnsi="Arial" w:cs="Arial"/>
          <w:color w:val="111111"/>
          <w:sz w:val="26"/>
          <w:szCs w:val="26"/>
        </w:rPr>
        <w:t>Top-down usually encompasses a vast universe of macro variables while bottom-up is more narrowly focused.</w:t>
      </w:r>
    </w:p>
    <w:p w:rsidR="005374BB" w:rsidRPr="005374BB" w:rsidRDefault="005374BB" w:rsidP="005374BB">
      <w:pPr>
        <w:numPr>
          <w:ilvl w:val="0"/>
          <w:numId w:val="2"/>
        </w:numPr>
        <w:shd w:val="clear" w:color="auto" w:fill="FFFFFF"/>
        <w:spacing w:before="100" w:beforeAutospacing="1" w:after="100" w:afterAutospacing="1" w:line="240" w:lineRule="auto"/>
        <w:rPr>
          <w:rFonts w:ascii="Arial" w:eastAsia="Times New Roman" w:hAnsi="Arial" w:cs="Arial"/>
          <w:color w:val="111111"/>
          <w:sz w:val="26"/>
          <w:szCs w:val="26"/>
        </w:rPr>
      </w:pPr>
      <w:r w:rsidRPr="005374BB">
        <w:rPr>
          <w:rFonts w:ascii="Arial" w:eastAsia="Times New Roman" w:hAnsi="Arial" w:cs="Arial"/>
          <w:color w:val="111111"/>
          <w:sz w:val="26"/>
          <w:szCs w:val="26"/>
        </w:rPr>
        <w:t>Top-down investing strategies typically focus on exploiting opportunities that follow market cycles while bottom-up approaches are more fundamental in nature.</w:t>
      </w:r>
    </w:p>
    <w:p w:rsidR="005374BB" w:rsidRPr="005374BB" w:rsidRDefault="005374BB" w:rsidP="005374BB">
      <w:pPr>
        <w:numPr>
          <w:ilvl w:val="0"/>
          <w:numId w:val="2"/>
        </w:numPr>
        <w:shd w:val="clear" w:color="auto" w:fill="FFFFFF"/>
        <w:spacing w:before="100" w:beforeAutospacing="1" w:after="0" w:line="240" w:lineRule="auto"/>
        <w:rPr>
          <w:rFonts w:ascii="Arial" w:eastAsia="Times New Roman" w:hAnsi="Arial" w:cs="Arial"/>
          <w:color w:val="111111"/>
          <w:sz w:val="26"/>
          <w:szCs w:val="26"/>
        </w:rPr>
      </w:pPr>
      <w:r w:rsidRPr="005374BB">
        <w:rPr>
          <w:rFonts w:ascii="Arial" w:eastAsia="Times New Roman" w:hAnsi="Arial" w:cs="Arial"/>
          <w:color w:val="111111"/>
          <w:sz w:val="26"/>
          <w:szCs w:val="26"/>
        </w:rPr>
        <w:t>While top-down and bottom-up can be very distinctly different they are often each used in all types of financial approaches like checks and balances.</w:t>
      </w:r>
    </w:p>
    <w:p w:rsidR="005374BB" w:rsidRPr="005374BB" w:rsidRDefault="005374BB" w:rsidP="005374BB">
      <w:pPr>
        <w:shd w:val="clear" w:color="auto" w:fill="FFFFFF"/>
        <w:spacing w:after="0" w:line="240" w:lineRule="auto"/>
        <w:outlineLvl w:val="1"/>
        <w:rPr>
          <w:rFonts w:ascii="Arial" w:eastAsia="Times New Roman" w:hAnsi="Arial" w:cs="Arial"/>
          <w:color w:val="111111"/>
          <w:sz w:val="36"/>
          <w:szCs w:val="36"/>
        </w:rPr>
      </w:pPr>
      <w:r w:rsidRPr="005374BB">
        <w:rPr>
          <w:rFonts w:ascii="Arial" w:eastAsia="Times New Roman" w:hAnsi="Arial" w:cs="Arial"/>
          <w:color w:val="111111"/>
          <w:sz w:val="36"/>
          <w:szCs w:val="36"/>
        </w:rPr>
        <w:t>Top-Down</w:t>
      </w:r>
    </w:p>
    <w:p w:rsidR="005374BB" w:rsidRPr="005374BB" w:rsidRDefault="005374BB" w:rsidP="005374BB">
      <w:pPr>
        <w:shd w:val="clear" w:color="auto" w:fill="FFFFFF"/>
        <w:spacing w:after="100" w:afterAutospacing="1" w:line="240" w:lineRule="auto"/>
        <w:rPr>
          <w:rFonts w:ascii="Arial" w:eastAsia="Times New Roman" w:hAnsi="Arial" w:cs="Arial"/>
          <w:color w:val="111111"/>
          <w:sz w:val="26"/>
          <w:szCs w:val="26"/>
        </w:rPr>
      </w:pPr>
      <w:hyperlink r:id="rId10" w:history="1">
        <w:r w:rsidRPr="005374BB">
          <w:rPr>
            <w:rFonts w:ascii="Arial" w:eastAsia="Times New Roman" w:hAnsi="Arial" w:cs="Arial"/>
            <w:color w:val="2C40D0"/>
            <w:sz w:val="26"/>
            <w:szCs w:val="26"/>
            <w:u w:val="single"/>
          </w:rPr>
          <w:t>Top-down analysis</w:t>
        </w:r>
      </w:hyperlink>
      <w:r w:rsidRPr="005374BB">
        <w:rPr>
          <w:rFonts w:ascii="Arial" w:eastAsia="Times New Roman" w:hAnsi="Arial" w:cs="Arial"/>
          <w:color w:val="111111"/>
          <w:sz w:val="26"/>
          <w:szCs w:val="26"/>
        </w:rPr>
        <w:t xml:space="preserve"> generally refers to using comprehensive factors as a basis for decision making. The top-down approach will seek to identify the big </w:t>
      </w:r>
      <w:r w:rsidRPr="005374BB">
        <w:rPr>
          <w:rFonts w:ascii="Arial" w:eastAsia="Times New Roman" w:hAnsi="Arial" w:cs="Arial"/>
          <w:color w:val="111111"/>
          <w:sz w:val="26"/>
          <w:szCs w:val="26"/>
        </w:rPr>
        <w:lastRenderedPageBreak/>
        <w:t>picture and all of its components. These components will usually be the driving force for the end goal.</w:t>
      </w:r>
    </w:p>
    <w:p w:rsidR="005374BB" w:rsidRPr="005374BB" w:rsidRDefault="005374BB" w:rsidP="005374BB">
      <w:pPr>
        <w:shd w:val="clear" w:color="auto" w:fill="FFFFFF"/>
        <w:spacing w:after="100" w:afterAutospacing="1" w:line="240" w:lineRule="auto"/>
        <w:rPr>
          <w:rFonts w:ascii="Arial" w:eastAsia="Times New Roman" w:hAnsi="Arial" w:cs="Arial"/>
          <w:color w:val="111111"/>
          <w:sz w:val="26"/>
          <w:szCs w:val="26"/>
        </w:rPr>
      </w:pPr>
      <w:r w:rsidRPr="005374BB">
        <w:rPr>
          <w:rFonts w:ascii="Arial" w:eastAsia="Times New Roman" w:hAnsi="Arial" w:cs="Arial"/>
          <w:color w:val="111111"/>
          <w:sz w:val="26"/>
          <w:szCs w:val="26"/>
        </w:rPr>
        <w:t>Overall, top-down is commonly associated with the word macro or </w:t>
      </w:r>
      <w:hyperlink r:id="rId11" w:history="1">
        <w:r w:rsidRPr="005374BB">
          <w:rPr>
            <w:rFonts w:ascii="Arial" w:eastAsia="Times New Roman" w:hAnsi="Arial" w:cs="Arial"/>
            <w:color w:val="2C40D0"/>
            <w:sz w:val="26"/>
            <w:szCs w:val="26"/>
            <w:u w:val="single"/>
          </w:rPr>
          <w:t>macroeconomics</w:t>
        </w:r>
      </w:hyperlink>
      <w:r w:rsidRPr="005374BB">
        <w:rPr>
          <w:rFonts w:ascii="Arial" w:eastAsia="Times New Roman" w:hAnsi="Arial" w:cs="Arial"/>
          <w:color w:val="111111"/>
          <w:sz w:val="26"/>
          <w:szCs w:val="26"/>
        </w:rPr>
        <w:t>. Macroeconomics itself is an area of economics that looks at the biggest factors affecting the economy as a whole. These factors often include things like the federal funds rate, unemployment rates, global and country-specific gross domestic product, and inflation rates.</w:t>
      </w:r>
    </w:p>
    <w:p w:rsidR="005374BB" w:rsidRPr="005374BB" w:rsidRDefault="005374BB" w:rsidP="005374BB">
      <w:pPr>
        <w:shd w:val="clear" w:color="auto" w:fill="FFFFFF"/>
        <w:spacing w:after="100" w:afterAutospacing="1" w:line="240" w:lineRule="auto"/>
        <w:rPr>
          <w:rFonts w:ascii="Arial" w:eastAsia="Times New Roman" w:hAnsi="Arial" w:cs="Arial"/>
          <w:color w:val="111111"/>
          <w:sz w:val="26"/>
          <w:szCs w:val="26"/>
        </w:rPr>
      </w:pPr>
      <w:r w:rsidRPr="005374BB">
        <w:rPr>
          <w:rFonts w:ascii="Arial" w:eastAsia="Times New Roman" w:hAnsi="Arial" w:cs="Arial"/>
          <w:color w:val="111111"/>
          <w:sz w:val="26"/>
          <w:szCs w:val="26"/>
        </w:rPr>
        <w:t>An analyst seeking a top-down perspective will want to look at how systematic factors are affecting an outcome. In corporate finance, this can mean understanding how big picture trends are affecting the entire industry. In budgeting, goal setting, and forecasting the same concept can also apply to understand and manage the macro factors.</w:t>
      </w:r>
    </w:p>
    <w:p w:rsidR="005374BB" w:rsidRPr="005374BB" w:rsidRDefault="005374BB" w:rsidP="005374BB">
      <w:pPr>
        <w:shd w:val="clear" w:color="auto" w:fill="FFFFFF"/>
        <w:spacing w:after="0" w:line="240" w:lineRule="auto"/>
        <w:outlineLvl w:val="2"/>
        <w:rPr>
          <w:rFonts w:ascii="Arial" w:eastAsia="Times New Roman" w:hAnsi="Arial" w:cs="Arial"/>
          <w:color w:val="111111"/>
          <w:sz w:val="27"/>
          <w:szCs w:val="27"/>
        </w:rPr>
      </w:pPr>
      <w:r w:rsidRPr="005374BB">
        <w:rPr>
          <w:rFonts w:ascii="Arial" w:eastAsia="Times New Roman" w:hAnsi="Arial" w:cs="Arial"/>
          <w:color w:val="111111"/>
          <w:sz w:val="27"/>
          <w:szCs w:val="27"/>
        </w:rPr>
        <w:t>Top-Down Investing</w:t>
      </w:r>
    </w:p>
    <w:p w:rsidR="005374BB" w:rsidRPr="005374BB" w:rsidRDefault="005374BB" w:rsidP="005374BB">
      <w:pPr>
        <w:shd w:val="clear" w:color="auto" w:fill="FFFFFF"/>
        <w:spacing w:after="100" w:afterAutospacing="1" w:line="240" w:lineRule="auto"/>
        <w:rPr>
          <w:rFonts w:ascii="Arial" w:eastAsia="Times New Roman" w:hAnsi="Arial" w:cs="Arial"/>
          <w:color w:val="111111"/>
          <w:sz w:val="26"/>
          <w:szCs w:val="26"/>
        </w:rPr>
      </w:pPr>
      <w:r w:rsidRPr="005374BB">
        <w:rPr>
          <w:rFonts w:ascii="Arial" w:eastAsia="Times New Roman" w:hAnsi="Arial" w:cs="Arial"/>
          <w:color w:val="111111"/>
          <w:sz w:val="26"/>
          <w:szCs w:val="26"/>
        </w:rPr>
        <w:t>In the investing world, top-down investors or investment strategies focus on the macroeconomic environment and cycle. These types of investors usually want to balance </w:t>
      </w:r>
      <w:hyperlink r:id="rId12" w:history="1">
        <w:r w:rsidRPr="005374BB">
          <w:rPr>
            <w:rFonts w:ascii="Arial" w:eastAsia="Times New Roman" w:hAnsi="Arial" w:cs="Arial"/>
            <w:color w:val="2C40D0"/>
            <w:sz w:val="26"/>
            <w:szCs w:val="26"/>
            <w:u w:val="single"/>
          </w:rPr>
          <w:t>consumer discretionary</w:t>
        </w:r>
      </w:hyperlink>
      <w:r w:rsidRPr="005374BB">
        <w:rPr>
          <w:rFonts w:ascii="Arial" w:eastAsia="Times New Roman" w:hAnsi="Arial" w:cs="Arial"/>
          <w:color w:val="111111"/>
          <w:sz w:val="26"/>
          <w:szCs w:val="26"/>
        </w:rPr>
        <w:t> investing against staples depending on the current economy. Historically, discretionary stocks are known to follow economic cycles with consumers buying more discretionary goods and services in expansions and less in contractions.</w:t>
      </w:r>
    </w:p>
    <w:p w:rsidR="005374BB" w:rsidRPr="005374BB" w:rsidRDefault="005374BB" w:rsidP="005374BB">
      <w:pPr>
        <w:shd w:val="clear" w:color="auto" w:fill="FFFFFF"/>
        <w:spacing w:after="100" w:afterAutospacing="1" w:line="240" w:lineRule="auto"/>
        <w:rPr>
          <w:rFonts w:ascii="Arial" w:eastAsia="Times New Roman" w:hAnsi="Arial" w:cs="Arial"/>
          <w:color w:val="111111"/>
          <w:sz w:val="26"/>
          <w:szCs w:val="26"/>
        </w:rPr>
      </w:pPr>
      <w:hyperlink r:id="rId13" w:history="1">
        <w:r w:rsidRPr="005374BB">
          <w:rPr>
            <w:rFonts w:ascii="Arial" w:eastAsia="Times New Roman" w:hAnsi="Arial" w:cs="Arial"/>
            <w:color w:val="2C40D0"/>
            <w:sz w:val="26"/>
            <w:szCs w:val="26"/>
            <w:u w:val="single"/>
          </w:rPr>
          <w:t>Consumer staples</w:t>
        </w:r>
      </w:hyperlink>
      <w:r w:rsidRPr="005374BB">
        <w:rPr>
          <w:rFonts w:ascii="Arial" w:eastAsia="Times New Roman" w:hAnsi="Arial" w:cs="Arial"/>
          <w:color w:val="111111"/>
          <w:sz w:val="26"/>
          <w:szCs w:val="26"/>
        </w:rPr>
        <w:t> tend to offer viable investment opportunities through all types of economic cycles since they include goods and services that remain in demand regardless of the economy’s movement. Comprehensively, when an economy is expanding, discretionary overweight can be relied on to produce returns. Alternatively, when an economy is contracting or in a recession, top-down investors will usually overweight to havens and staples.</w:t>
      </w:r>
    </w:p>
    <w:p w:rsidR="005374BB" w:rsidRPr="005374BB" w:rsidRDefault="005374BB" w:rsidP="005374BB">
      <w:pPr>
        <w:shd w:val="clear" w:color="auto" w:fill="FFFFFF"/>
        <w:spacing w:after="100" w:afterAutospacing="1" w:line="240" w:lineRule="auto"/>
        <w:rPr>
          <w:rFonts w:ascii="Arial" w:eastAsia="Times New Roman" w:hAnsi="Arial" w:cs="Arial"/>
          <w:color w:val="111111"/>
          <w:sz w:val="26"/>
          <w:szCs w:val="26"/>
        </w:rPr>
      </w:pPr>
      <w:r w:rsidRPr="005374BB">
        <w:rPr>
          <w:rFonts w:ascii="Arial" w:eastAsia="Times New Roman" w:hAnsi="Arial" w:cs="Arial"/>
          <w:color w:val="111111"/>
          <w:sz w:val="26"/>
          <w:szCs w:val="26"/>
        </w:rPr>
        <w:t>Investment management firms and investment managers can focus an entire investment strategy on top-down management that identifies investment trading opportunities purely based on top-down macroeconomic variables. These funds can have a global or domestic focus which also increases the complexity of the scope. Typically, these funds will be called </w:t>
      </w:r>
      <w:hyperlink r:id="rId14" w:history="1">
        <w:r w:rsidRPr="005374BB">
          <w:rPr>
            <w:rFonts w:ascii="Arial" w:eastAsia="Times New Roman" w:hAnsi="Arial" w:cs="Arial"/>
            <w:color w:val="2C40D0"/>
            <w:sz w:val="26"/>
            <w:szCs w:val="26"/>
            <w:u w:val="single"/>
          </w:rPr>
          <w:t>macro funds</w:t>
        </w:r>
      </w:hyperlink>
      <w:r w:rsidRPr="005374BB">
        <w:rPr>
          <w:rFonts w:ascii="Arial" w:eastAsia="Times New Roman" w:hAnsi="Arial" w:cs="Arial"/>
          <w:color w:val="111111"/>
          <w:sz w:val="26"/>
          <w:szCs w:val="26"/>
        </w:rPr>
        <w:t>. Generally, they make portfolio decisions by looking at global then country-level economics. They further refine the view to a particular sector, and then to the individual companies within that sector.</w:t>
      </w:r>
    </w:p>
    <w:p w:rsidR="005374BB" w:rsidRPr="005374BB" w:rsidRDefault="005374BB" w:rsidP="005374BB">
      <w:pPr>
        <w:shd w:val="clear" w:color="auto" w:fill="FFFFFF"/>
        <w:spacing w:after="0" w:line="240" w:lineRule="auto"/>
        <w:rPr>
          <w:rFonts w:ascii="Arial" w:eastAsia="Times New Roman" w:hAnsi="Arial" w:cs="Arial"/>
          <w:color w:val="111111"/>
          <w:sz w:val="26"/>
          <w:szCs w:val="26"/>
        </w:rPr>
      </w:pPr>
      <w:r w:rsidRPr="005374BB">
        <w:rPr>
          <w:rFonts w:ascii="Arial" w:eastAsia="Times New Roman" w:hAnsi="Arial" w:cs="Arial"/>
          <w:color w:val="111111"/>
          <w:sz w:val="26"/>
          <w:szCs w:val="26"/>
        </w:rPr>
        <w:t> </w:t>
      </w:r>
    </w:p>
    <w:p w:rsidR="005374BB" w:rsidRPr="005374BB" w:rsidRDefault="005374BB" w:rsidP="005374BB">
      <w:pPr>
        <w:shd w:val="clear" w:color="auto" w:fill="FFFFFF"/>
        <w:spacing w:after="100" w:afterAutospacing="1" w:line="240" w:lineRule="auto"/>
        <w:textAlignment w:val="baseline"/>
        <w:rPr>
          <w:rFonts w:ascii="Arial" w:eastAsia="Times New Roman" w:hAnsi="Arial" w:cs="Arial"/>
          <w:color w:val="111111"/>
          <w:sz w:val="26"/>
          <w:szCs w:val="26"/>
        </w:rPr>
      </w:pPr>
      <w:r w:rsidRPr="005374BB">
        <w:rPr>
          <w:rFonts w:ascii="Arial" w:eastAsia="Times New Roman" w:hAnsi="Arial" w:cs="Arial"/>
          <w:color w:val="111111"/>
          <w:sz w:val="26"/>
          <w:szCs w:val="26"/>
        </w:rPr>
        <w:t>Top-down investing strategies typically focus on profiting from opportunities that follow market cycles while bottom-up approaches are more fundamental in nature.</w:t>
      </w:r>
    </w:p>
    <w:p w:rsidR="005374BB" w:rsidRPr="005374BB" w:rsidRDefault="005374BB" w:rsidP="005374BB">
      <w:pPr>
        <w:shd w:val="clear" w:color="auto" w:fill="FFFFFF"/>
        <w:spacing w:after="0" w:line="240" w:lineRule="auto"/>
        <w:outlineLvl w:val="1"/>
        <w:rPr>
          <w:rFonts w:ascii="Arial" w:eastAsia="Times New Roman" w:hAnsi="Arial" w:cs="Arial"/>
          <w:color w:val="111111"/>
          <w:sz w:val="36"/>
          <w:szCs w:val="36"/>
        </w:rPr>
      </w:pPr>
      <w:r w:rsidRPr="005374BB">
        <w:rPr>
          <w:rFonts w:ascii="Arial" w:eastAsia="Times New Roman" w:hAnsi="Arial" w:cs="Arial"/>
          <w:color w:val="111111"/>
          <w:sz w:val="36"/>
          <w:szCs w:val="36"/>
        </w:rPr>
        <w:t>Bottom-Up</w:t>
      </w:r>
    </w:p>
    <w:p w:rsidR="005374BB" w:rsidRPr="005374BB" w:rsidRDefault="005374BB" w:rsidP="005374BB">
      <w:pPr>
        <w:shd w:val="clear" w:color="auto" w:fill="FFFFFF"/>
        <w:spacing w:after="100" w:afterAutospacing="1" w:line="240" w:lineRule="auto"/>
        <w:rPr>
          <w:rFonts w:ascii="Arial" w:eastAsia="Times New Roman" w:hAnsi="Arial" w:cs="Arial"/>
          <w:color w:val="111111"/>
          <w:sz w:val="26"/>
          <w:szCs w:val="26"/>
        </w:rPr>
      </w:pPr>
      <w:r w:rsidRPr="005374BB">
        <w:rPr>
          <w:rFonts w:ascii="Arial" w:eastAsia="Times New Roman" w:hAnsi="Arial" w:cs="Arial"/>
          <w:color w:val="111111"/>
          <w:sz w:val="26"/>
          <w:szCs w:val="26"/>
        </w:rPr>
        <w:lastRenderedPageBreak/>
        <w:t>The </w:t>
      </w:r>
      <w:hyperlink r:id="rId15" w:history="1">
        <w:r w:rsidRPr="005374BB">
          <w:rPr>
            <w:rFonts w:ascii="Arial" w:eastAsia="Times New Roman" w:hAnsi="Arial" w:cs="Arial"/>
            <w:color w:val="2C40D0"/>
            <w:sz w:val="26"/>
            <w:szCs w:val="26"/>
            <w:u w:val="single"/>
          </w:rPr>
          <w:t>bottom-up analysis</w:t>
        </w:r>
      </w:hyperlink>
      <w:r w:rsidRPr="005374BB">
        <w:rPr>
          <w:rFonts w:ascii="Arial" w:eastAsia="Times New Roman" w:hAnsi="Arial" w:cs="Arial"/>
          <w:color w:val="111111"/>
          <w:sz w:val="26"/>
          <w:szCs w:val="26"/>
        </w:rPr>
        <w:t> takes a completely different approach. Generally, the bottom-up approach will focus its analysis on specific characteristics and micro attributes of an individual stock. In bottom-up investing concentration is on business-by-business or sector-by-sector </w:t>
      </w:r>
      <w:hyperlink r:id="rId16" w:history="1">
        <w:r w:rsidRPr="005374BB">
          <w:rPr>
            <w:rFonts w:ascii="Arial" w:eastAsia="Times New Roman" w:hAnsi="Arial" w:cs="Arial"/>
            <w:color w:val="2C40D0"/>
            <w:sz w:val="26"/>
            <w:szCs w:val="26"/>
            <w:u w:val="single"/>
          </w:rPr>
          <w:t>fundamentals</w:t>
        </w:r>
      </w:hyperlink>
      <w:r w:rsidRPr="005374BB">
        <w:rPr>
          <w:rFonts w:ascii="Arial" w:eastAsia="Times New Roman" w:hAnsi="Arial" w:cs="Arial"/>
          <w:color w:val="111111"/>
          <w:sz w:val="26"/>
          <w:szCs w:val="26"/>
        </w:rPr>
        <w:t>. This analysis seeks to identify profitable opportunities through the idiosyncrasies of a company’s attributes and its valuations in comparison to the market.</w:t>
      </w:r>
    </w:p>
    <w:p w:rsidR="005374BB" w:rsidRPr="005374BB" w:rsidRDefault="005374BB" w:rsidP="005374BB">
      <w:pPr>
        <w:shd w:val="clear" w:color="auto" w:fill="FFFFFF"/>
        <w:spacing w:after="100" w:afterAutospacing="1" w:line="240" w:lineRule="auto"/>
        <w:rPr>
          <w:rFonts w:ascii="Arial" w:eastAsia="Times New Roman" w:hAnsi="Arial" w:cs="Arial"/>
          <w:color w:val="111111"/>
          <w:sz w:val="26"/>
          <w:szCs w:val="26"/>
        </w:rPr>
      </w:pPr>
      <w:r w:rsidRPr="005374BB">
        <w:rPr>
          <w:rFonts w:ascii="Arial" w:eastAsia="Times New Roman" w:hAnsi="Arial" w:cs="Arial"/>
          <w:color w:val="111111"/>
          <w:sz w:val="26"/>
          <w:szCs w:val="26"/>
        </w:rPr>
        <w:t>Bottom-up investing begins its research at the company level but does not stop there. These analyses weigh company fundamentals heavily but also look at the sector, and microeconomic factors as well. As such, bottom-up investing can be somewhat broad across an entire industry or laser-focused on identifying key attributes.</w:t>
      </w:r>
    </w:p>
    <w:p w:rsidR="005374BB" w:rsidRPr="005374BB" w:rsidRDefault="005374BB" w:rsidP="005374BB">
      <w:pPr>
        <w:shd w:val="clear" w:color="auto" w:fill="FFFFFF"/>
        <w:spacing w:after="0" w:line="240" w:lineRule="auto"/>
        <w:outlineLvl w:val="2"/>
        <w:rPr>
          <w:rFonts w:ascii="Arial" w:eastAsia="Times New Roman" w:hAnsi="Arial" w:cs="Arial"/>
          <w:color w:val="111111"/>
          <w:sz w:val="27"/>
          <w:szCs w:val="27"/>
        </w:rPr>
      </w:pPr>
      <w:r w:rsidRPr="005374BB">
        <w:rPr>
          <w:rFonts w:ascii="Arial" w:eastAsia="Times New Roman" w:hAnsi="Arial" w:cs="Arial"/>
          <w:color w:val="111111"/>
          <w:sz w:val="27"/>
          <w:szCs w:val="27"/>
        </w:rPr>
        <w:t>Bottom-Up Investors</w:t>
      </w:r>
    </w:p>
    <w:p w:rsidR="005374BB" w:rsidRPr="005374BB" w:rsidRDefault="005374BB" w:rsidP="005374BB">
      <w:pPr>
        <w:shd w:val="clear" w:color="auto" w:fill="FFFFFF"/>
        <w:spacing w:after="100" w:afterAutospacing="1" w:line="240" w:lineRule="auto"/>
        <w:rPr>
          <w:rFonts w:ascii="Arial" w:eastAsia="Times New Roman" w:hAnsi="Arial" w:cs="Arial"/>
          <w:color w:val="111111"/>
          <w:sz w:val="26"/>
          <w:szCs w:val="26"/>
        </w:rPr>
      </w:pPr>
      <w:r w:rsidRPr="005374BB">
        <w:rPr>
          <w:rFonts w:ascii="Arial" w:eastAsia="Times New Roman" w:hAnsi="Arial" w:cs="Arial"/>
          <w:color w:val="111111"/>
          <w:sz w:val="26"/>
          <w:szCs w:val="26"/>
        </w:rPr>
        <w:t>Most often, bottom-up investors are buy-and-hold investors who have a deep understanding of a company's fundamentals. Fund managers may also use a bottom-up methodology. For example, a portfolio team may be tasked with a bottom-up investing approach within a specified sector like technology. They are required to find the best investments using a fundamental approach that identifies the companies with the best fundamental ratios or industry-leading attributes. They would then investigate those stocks in regards to macro and global influences.</w:t>
      </w:r>
    </w:p>
    <w:p w:rsidR="005374BB" w:rsidRPr="005374BB" w:rsidRDefault="005374BB" w:rsidP="005374BB">
      <w:pPr>
        <w:shd w:val="clear" w:color="auto" w:fill="FFFFFF"/>
        <w:spacing w:after="100" w:afterAutospacing="1" w:line="240" w:lineRule="auto"/>
        <w:rPr>
          <w:rFonts w:ascii="Arial" w:eastAsia="Times New Roman" w:hAnsi="Arial" w:cs="Arial"/>
          <w:color w:val="111111"/>
          <w:sz w:val="26"/>
          <w:szCs w:val="26"/>
        </w:rPr>
      </w:pPr>
      <w:r w:rsidRPr="005374BB">
        <w:rPr>
          <w:rFonts w:ascii="Arial" w:eastAsia="Times New Roman" w:hAnsi="Arial" w:cs="Arial"/>
          <w:color w:val="111111"/>
          <w:sz w:val="26"/>
          <w:szCs w:val="26"/>
        </w:rPr>
        <w:t>Metric focused smart-beta index funds are another example of bottom-up investing. Funds like the AAM S&amp;P 500 High Dividend Value ETF (SPDV) and the </w:t>
      </w:r>
      <w:hyperlink r:id="rId17" w:history="1">
        <w:r w:rsidRPr="005374BB">
          <w:rPr>
            <w:rFonts w:ascii="Arial" w:eastAsia="Times New Roman" w:hAnsi="Arial" w:cs="Arial"/>
            <w:color w:val="2C40D0"/>
            <w:sz w:val="26"/>
            <w:szCs w:val="26"/>
            <w:u w:val="single"/>
          </w:rPr>
          <w:t>Schwab</w:t>
        </w:r>
      </w:hyperlink>
      <w:r w:rsidRPr="005374BB">
        <w:rPr>
          <w:rFonts w:ascii="Arial" w:eastAsia="Times New Roman" w:hAnsi="Arial" w:cs="Arial"/>
          <w:color w:val="111111"/>
          <w:sz w:val="26"/>
          <w:szCs w:val="26"/>
        </w:rPr>
        <w:t> Fundamental U.S. Large Company Index ETF (FNDX) focus on specific fundamental bottom-up attributes that are expected to be key performance drivers.</w:t>
      </w:r>
      <w:r w:rsidRPr="005374BB">
        <w:rPr>
          <w:rFonts w:ascii="Arial" w:eastAsia="Times New Roman" w:hAnsi="Arial" w:cs="Arial"/>
          <w:color w:val="0000EE"/>
          <w:spacing w:val="17"/>
          <w:sz w:val="20"/>
          <w:szCs w:val="20"/>
          <w:vertAlign w:val="superscript"/>
        </w:rPr>
        <w:t>1</w:t>
      </w:r>
      <w:r w:rsidRPr="005374BB">
        <w:rPr>
          <w:rFonts w:ascii="Tahoma" w:eastAsia="Times New Roman" w:hAnsi="Tahoma" w:cs="Tahoma"/>
          <w:color w:val="111111"/>
          <w:sz w:val="26"/>
          <w:szCs w:val="26"/>
        </w:rPr>
        <w:t>﻿</w:t>
      </w:r>
      <w:r w:rsidRPr="005374BB">
        <w:rPr>
          <w:rFonts w:ascii="Arial" w:eastAsia="Times New Roman" w:hAnsi="Arial" w:cs="Arial"/>
          <w:color w:val="0000EE"/>
          <w:spacing w:val="17"/>
          <w:sz w:val="20"/>
          <w:szCs w:val="20"/>
          <w:vertAlign w:val="superscript"/>
        </w:rPr>
        <w:t>2</w:t>
      </w:r>
      <w:r w:rsidRPr="005374BB">
        <w:rPr>
          <w:rFonts w:ascii="Tahoma" w:eastAsia="Times New Roman" w:hAnsi="Tahoma" w:cs="Tahoma"/>
          <w:color w:val="111111"/>
          <w:sz w:val="26"/>
          <w:szCs w:val="26"/>
        </w:rPr>
        <w:t>﻿</w:t>
      </w:r>
    </w:p>
    <w:p w:rsidR="005374BB" w:rsidRPr="005374BB" w:rsidRDefault="005374BB" w:rsidP="005374BB">
      <w:pPr>
        <w:shd w:val="clear" w:color="auto" w:fill="FFFFFF"/>
        <w:spacing w:after="0" w:line="240" w:lineRule="auto"/>
        <w:outlineLvl w:val="1"/>
        <w:rPr>
          <w:rFonts w:ascii="Arial" w:eastAsia="Times New Roman" w:hAnsi="Arial" w:cs="Arial"/>
          <w:color w:val="111111"/>
          <w:sz w:val="36"/>
          <w:szCs w:val="36"/>
        </w:rPr>
      </w:pPr>
      <w:r w:rsidRPr="005374BB">
        <w:rPr>
          <w:rFonts w:ascii="Arial" w:eastAsia="Times New Roman" w:hAnsi="Arial" w:cs="Arial"/>
          <w:color w:val="111111"/>
          <w:sz w:val="36"/>
          <w:szCs w:val="36"/>
        </w:rPr>
        <w:t>Special Considerations</w:t>
      </w:r>
    </w:p>
    <w:p w:rsidR="005374BB" w:rsidRPr="005374BB" w:rsidRDefault="005374BB" w:rsidP="005374BB">
      <w:pPr>
        <w:shd w:val="clear" w:color="auto" w:fill="FFFFFF"/>
        <w:spacing w:after="100" w:afterAutospacing="1" w:line="240" w:lineRule="auto"/>
        <w:rPr>
          <w:rFonts w:ascii="Arial" w:eastAsia="Times New Roman" w:hAnsi="Arial" w:cs="Arial"/>
          <w:color w:val="111111"/>
          <w:sz w:val="26"/>
          <w:szCs w:val="26"/>
        </w:rPr>
      </w:pPr>
      <w:r w:rsidRPr="005374BB">
        <w:rPr>
          <w:rFonts w:ascii="Arial" w:eastAsia="Times New Roman" w:hAnsi="Arial" w:cs="Arial"/>
          <w:color w:val="111111"/>
          <w:sz w:val="26"/>
          <w:szCs w:val="26"/>
        </w:rPr>
        <w:t>Generally, while top-down and bottom-up can be very distinctly different they are often used in all types of </w:t>
      </w:r>
      <w:hyperlink r:id="rId18" w:history="1">
        <w:r w:rsidRPr="005374BB">
          <w:rPr>
            <w:rFonts w:ascii="Arial" w:eastAsia="Times New Roman" w:hAnsi="Arial" w:cs="Arial"/>
            <w:color w:val="2C40D0"/>
            <w:sz w:val="26"/>
            <w:szCs w:val="26"/>
            <w:u w:val="single"/>
          </w:rPr>
          <w:t>financial approaches</w:t>
        </w:r>
      </w:hyperlink>
      <w:r w:rsidRPr="005374BB">
        <w:rPr>
          <w:rFonts w:ascii="Arial" w:eastAsia="Times New Roman" w:hAnsi="Arial" w:cs="Arial"/>
          <w:color w:val="111111"/>
          <w:sz w:val="26"/>
          <w:szCs w:val="26"/>
        </w:rPr>
        <w:t> like checks and balances. For example, while a top-down investment fund might primarily focus on investing according to macro trends, it will still look at the fundamentals of its investments before making an investing decision. Vice versa, while a bottom-up approach focuses on the fundamentals of investments, investors still want to consider systematic effects on individual holdings before making a decision.</w:t>
      </w:r>
    </w:p>
    <w:p w:rsidR="005374BB" w:rsidRDefault="005374BB"/>
    <w:p w:rsidR="005374BB" w:rsidRDefault="005374BB"/>
    <w:p w:rsidR="005374BB" w:rsidRDefault="005374BB"/>
    <w:p w:rsidR="005374BB" w:rsidRDefault="005374BB"/>
    <w:p w:rsidR="005374BB" w:rsidRDefault="005374BB"/>
    <w:p w:rsidR="005374BB" w:rsidRDefault="005374BB"/>
    <w:sectPr w:rsidR="005374B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685D" w:rsidRDefault="0061685D" w:rsidP="005374BB">
      <w:pPr>
        <w:spacing w:after="0" w:line="240" w:lineRule="auto"/>
      </w:pPr>
      <w:r>
        <w:separator/>
      </w:r>
    </w:p>
  </w:endnote>
  <w:endnote w:type="continuationSeparator" w:id="0">
    <w:p w:rsidR="0061685D" w:rsidRDefault="0061685D" w:rsidP="00537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685D" w:rsidRDefault="0061685D" w:rsidP="005374BB">
      <w:pPr>
        <w:spacing w:after="0" w:line="240" w:lineRule="auto"/>
      </w:pPr>
      <w:r>
        <w:separator/>
      </w:r>
    </w:p>
  </w:footnote>
  <w:footnote w:type="continuationSeparator" w:id="0">
    <w:p w:rsidR="0061685D" w:rsidRDefault="0061685D" w:rsidP="005374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60506D"/>
    <w:multiLevelType w:val="multilevel"/>
    <w:tmpl w:val="7576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897EB4"/>
    <w:multiLevelType w:val="multilevel"/>
    <w:tmpl w:val="3AE6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F4A"/>
    <w:rsid w:val="002C0C78"/>
    <w:rsid w:val="005374BB"/>
    <w:rsid w:val="005E1F4A"/>
    <w:rsid w:val="0061685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0687B"/>
  <w15:chartTrackingRefBased/>
  <w15:docId w15:val="{D1648A80-6448-46E8-96D9-30A1F1545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374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5374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5374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74BB"/>
    <w:pPr>
      <w:tabs>
        <w:tab w:val="center" w:pos="4513"/>
        <w:tab w:val="right" w:pos="9026"/>
      </w:tabs>
      <w:spacing w:after="0" w:line="240" w:lineRule="auto"/>
    </w:pPr>
  </w:style>
  <w:style w:type="character" w:customStyle="1" w:styleId="a4">
    <w:name w:val="頁首 字元"/>
    <w:basedOn w:val="a0"/>
    <w:link w:val="a3"/>
    <w:uiPriority w:val="99"/>
    <w:rsid w:val="005374BB"/>
  </w:style>
  <w:style w:type="paragraph" w:styleId="a5">
    <w:name w:val="footer"/>
    <w:basedOn w:val="a"/>
    <w:link w:val="a6"/>
    <w:uiPriority w:val="99"/>
    <w:unhideWhenUsed/>
    <w:rsid w:val="005374BB"/>
    <w:pPr>
      <w:tabs>
        <w:tab w:val="center" w:pos="4513"/>
        <w:tab w:val="right" w:pos="9026"/>
      </w:tabs>
      <w:spacing w:after="0" w:line="240" w:lineRule="auto"/>
    </w:pPr>
  </w:style>
  <w:style w:type="character" w:customStyle="1" w:styleId="a6">
    <w:name w:val="頁尾 字元"/>
    <w:basedOn w:val="a0"/>
    <w:link w:val="a5"/>
    <w:uiPriority w:val="99"/>
    <w:rsid w:val="005374BB"/>
  </w:style>
  <w:style w:type="character" w:customStyle="1" w:styleId="10">
    <w:name w:val="標題 1 字元"/>
    <w:basedOn w:val="a0"/>
    <w:link w:val="1"/>
    <w:uiPriority w:val="9"/>
    <w:rsid w:val="005374BB"/>
    <w:rPr>
      <w:rFonts w:ascii="Times New Roman" w:eastAsia="Times New Roman" w:hAnsi="Times New Roman" w:cs="Times New Roman"/>
      <w:b/>
      <w:bCs/>
      <w:kern w:val="36"/>
      <w:sz w:val="48"/>
      <w:szCs w:val="48"/>
    </w:rPr>
  </w:style>
  <w:style w:type="character" w:customStyle="1" w:styleId="20">
    <w:name w:val="標題 2 字元"/>
    <w:basedOn w:val="a0"/>
    <w:link w:val="2"/>
    <w:uiPriority w:val="9"/>
    <w:rsid w:val="005374BB"/>
    <w:rPr>
      <w:rFonts w:ascii="Times New Roman" w:eastAsia="Times New Roman" w:hAnsi="Times New Roman" w:cs="Times New Roman"/>
      <w:b/>
      <w:bCs/>
      <w:sz w:val="36"/>
      <w:szCs w:val="36"/>
    </w:rPr>
  </w:style>
  <w:style w:type="character" w:customStyle="1" w:styleId="30">
    <w:name w:val="標題 3 字元"/>
    <w:basedOn w:val="a0"/>
    <w:link w:val="3"/>
    <w:uiPriority w:val="9"/>
    <w:rsid w:val="005374BB"/>
    <w:rPr>
      <w:rFonts w:ascii="Times New Roman" w:eastAsia="Times New Roman" w:hAnsi="Times New Roman" w:cs="Times New Roman"/>
      <w:b/>
      <w:bCs/>
      <w:sz w:val="27"/>
      <w:szCs w:val="27"/>
    </w:rPr>
  </w:style>
  <w:style w:type="character" w:styleId="a7">
    <w:name w:val="Hyperlink"/>
    <w:basedOn w:val="a0"/>
    <w:uiPriority w:val="99"/>
    <w:unhideWhenUsed/>
    <w:rsid w:val="005374BB"/>
    <w:rPr>
      <w:color w:val="0000FF"/>
      <w:u w:val="single"/>
    </w:rPr>
  </w:style>
  <w:style w:type="character" w:customStyle="1" w:styleId="mntl-sc-block-headingtext">
    <w:name w:val="mntl-sc-block-heading__text"/>
    <w:basedOn w:val="a0"/>
    <w:rsid w:val="005374BB"/>
  </w:style>
  <w:style w:type="paragraph" w:styleId="Web">
    <w:name w:val="Normal (Web)"/>
    <w:basedOn w:val="a"/>
    <w:uiPriority w:val="99"/>
    <w:semiHidden/>
    <w:unhideWhenUsed/>
    <w:rsid w:val="005374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subheadingtext">
    <w:name w:val="mntl-sc-block-subheading__text"/>
    <w:basedOn w:val="a0"/>
    <w:rsid w:val="005374BB"/>
  </w:style>
  <w:style w:type="character" w:customStyle="1" w:styleId="mntl-inline-citation">
    <w:name w:val="mntl-inline-citation"/>
    <w:basedOn w:val="a0"/>
    <w:rsid w:val="00537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574363">
      <w:bodyDiv w:val="1"/>
      <w:marLeft w:val="0"/>
      <w:marRight w:val="0"/>
      <w:marTop w:val="0"/>
      <w:marBottom w:val="0"/>
      <w:divBdr>
        <w:top w:val="none" w:sz="0" w:space="0" w:color="auto"/>
        <w:left w:val="none" w:sz="0" w:space="0" w:color="auto"/>
        <w:bottom w:val="none" w:sz="0" w:space="0" w:color="auto"/>
        <w:right w:val="none" w:sz="0" w:space="0" w:color="auto"/>
      </w:divBdr>
      <w:divsChild>
        <w:div w:id="333999058">
          <w:marLeft w:val="0"/>
          <w:marRight w:val="0"/>
          <w:marTop w:val="0"/>
          <w:marBottom w:val="0"/>
          <w:divBdr>
            <w:top w:val="none" w:sz="0" w:space="0" w:color="auto"/>
            <w:left w:val="none" w:sz="0" w:space="0" w:color="auto"/>
            <w:bottom w:val="none" w:sz="0" w:space="0" w:color="auto"/>
            <w:right w:val="none" w:sz="0" w:space="0" w:color="auto"/>
          </w:divBdr>
          <w:divsChild>
            <w:div w:id="1964343066">
              <w:marLeft w:val="0"/>
              <w:marRight w:val="0"/>
              <w:marTop w:val="0"/>
              <w:marBottom w:val="0"/>
              <w:divBdr>
                <w:top w:val="none" w:sz="0" w:space="0" w:color="auto"/>
                <w:left w:val="none" w:sz="0" w:space="0" w:color="auto"/>
                <w:bottom w:val="none" w:sz="0" w:space="0" w:color="auto"/>
                <w:right w:val="none" w:sz="0" w:space="0" w:color="auto"/>
              </w:divBdr>
            </w:div>
            <w:div w:id="1067724847">
              <w:marLeft w:val="0"/>
              <w:marRight w:val="0"/>
              <w:marTop w:val="0"/>
              <w:marBottom w:val="0"/>
              <w:divBdr>
                <w:top w:val="none" w:sz="0" w:space="0" w:color="auto"/>
                <w:left w:val="none" w:sz="0" w:space="0" w:color="auto"/>
                <w:bottom w:val="none" w:sz="0" w:space="0" w:color="auto"/>
                <w:right w:val="none" w:sz="0" w:space="0" w:color="auto"/>
              </w:divBdr>
            </w:div>
          </w:divsChild>
        </w:div>
        <w:div w:id="2114398957">
          <w:marLeft w:val="0"/>
          <w:marRight w:val="0"/>
          <w:marTop w:val="0"/>
          <w:marBottom w:val="0"/>
          <w:divBdr>
            <w:top w:val="none" w:sz="0" w:space="0" w:color="auto"/>
            <w:left w:val="none" w:sz="0" w:space="0" w:color="auto"/>
            <w:bottom w:val="none" w:sz="0" w:space="0" w:color="auto"/>
            <w:right w:val="none" w:sz="0" w:space="0" w:color="auto"/>
          </w:divBdr>
          <w:divsChild>
            <w:div w:id="334889590">
              <w:marLeft w:val="0"/>
              <w:marRight w:val="0"/>
              <w:marTop w:val="0"/>
              <w:marBottom w:val="0"/>
              <w:divBdr>
                <w:top w:val="none" w:sz="0" w:space="0" w:color="auto"/>
                <w:left w:val="none" w:sz="0" w:space="0" w:color="auto"/>
                <w:bottom w:val="none" w:sz="0" w:space="0" w:color="auto"/>
                <w:right w:val="none" w:sz="0" w:space="0" w:color="auto"/>
              </w:divBdr>
              <w:divsChild>
                <w:div w:id="1864587291">
                  <w:marLeft w:val="0"/>
                  <w:marRight w:val="0"/>
                  <w:marTop w:val="0"/>
                  <w:marBottom w:val="0"/>
                  <w:divBdr>
                    <w:top w:val="none" w:sz="0" w:space="0" w:color="auto"/>
                    <w:left w:val="none" w:sz="0" w:space="0" w:color="auto"/>
                    <w:bottom w:val="none" w:sz="0" w:space="0" w:color="auto"/>
                    <w:right w:val="none" w:sz="0" w:space="0" w:color="auto"/>
                  </w:divBdr>
                </w:div>
                <w:div w:id="745610370">
                  <w:marLeft w:val="0"/>
                  <w:marRight w:val="0"/>
                  <w:marTop w:val="0"/>
                  <w:marBottom w:val="0"/>
                  <w:divBdr>
                    <w:top w:val="none" w:sz="0" w:space="0" w:color="auto"/>
                    <w:left w:val="none" w:sz="0" w:space="0" w:color="auto"/>
                    <w:bottom w:val="none" w:sz="0" w:space="0" w:color="auto"/>
                    <w:right w:val="none" w:sz="0" w:space="0" w:color="auto"/>
                  </w:divBdr>
                </w:div>
                <w:div w:id="673729517">
                  <w:marLeft w:val="0"/>
                  <w:marRight w:val="0"/>
                  <w:marTop w:val="0"/>
                  <w:marBottom w:val="0"/>
                  <w:divBdr>
                    <w:top w:val="none" w:sz="0" w:space="0" w:color="auto"/>
                    <w:left w:val="none" w:sz="0" w:space="0" w:color="auto"/>
                    <w:bottom w:val="none" w:sz="0" w:space="0" w:color="auto"/>
                    <w:right w:val="none" w:sz="0" w:space="0" w:color="auto"/>
                  </w:divBdr>
                </w:div>
                <w:div w:id="278922019">
                  <w:marLeft w:val="0"/>
                  <w:marRight w:val="0"/>
                  <w:marTop w:val="0"/>
                  <w:marBottom w:val="0"/>
                  <w:divBdr>
                    <w:top w:val="none" w:sz="0" w:space="0" w:color="auto"/>
                    <w:left w:val="none" w:sz="0" w:space="0" w:color="auto"/>
                    <w:bottom w:val="none" w:sz="0" w:space="0" w:color="auto"/>
                    <w:right w:val="none" w:sz="0" w:space="0" w:color="auto"/>
                  </w:divBdr>
                  <w:divsChild>
                    <w:div w:id="1887333791">
                      <w:marLeft w:val="0"/>
                      <w:marRight w:val="0"/>
                      <w:marTop w:val="0"/>
                      <w:marBottom w:val="0"/>
                      <w:divBdr>
                        <w:top w:val="none" w:sz="0" w:space="0" w:color="auto"/>
                        <w:left w:val="none" w:sz="0" w:space="0" w:color="auto"/>
                        <w:bottom w:val="none" w:sz="0" w:space="0" w:color="auto"/>
                        <w:right w:val="none" w:sz="0" w:space="0" w:color="auto"/>
                      </w:divBdr>
                      <w:divsChild>
                        <w:div w:id="81861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4068">
                  <w:marLeft w:val="0"/>
                  <w:marRight w:val="0"/>
                  <w:marTop w:val="0"/>
                  <w:marBottom w:val="0"/>
                  <w:divBdr>
                    <w:top w:val="none" w:sz="0" w:space="0" w:color="auto"/>
                    <w:left w:val="none" w:sz="0" w:space="0" w:color="auto"/>
                    <w:bottom w:val="none" w:sz="0" w:space="0" w:color="auto"/>
                    <w:right w:val="none" w:sz="0" w:space="0" w:color="auto"/>
                  </w:divBdr>
                </w:div>
                <w:div w:id="1750808822">
                  <w:marLeft w:val="0"/>
                  <w:marRight w:val="0"/>
                  <w:marTop w:val="0"/>
                  <w:marBottom w:val="0"/>
                  <w:divBdr>
                    <w:top w:val="none" w:sz="0" w:space="0" w:color="auto"/>
                    <w:left w:val="none" w:sz="0" w:space="0" w:color="auto"/>
                    <w:bottom w:val="none" w:sz="0" w:space="0" w:color="auto"/>
                    <w:right w:val="none" w:sz="0" w:space="0" w:color="auto"/>
                  </w:divBdr>
                </w:div>
                <w:div w:id="1556745384">
                  <w:marLeft w:val="0"/>
                  <w:marRight w:val="0"/>
                  <w:marTop w:val="0"/>
                  <w:marBottom w:val="0"/>
                  <w:divBdr>
                    <w:top w:val="none" w:sz="0" w:space="0" w:color="auto"/>
                    <w:left w:val="none" w:sz="0" w:space="0" w:color="auto"/>
                    <w:bottom w:val="none" w:sz="0" w:space="0" w:color="auto"/>
                    <w:right w:val="none" w:sz="0" w:space="0" w:color="auto"/>
                  </w:divBdr>
                </w:div>
                <w:div w:id="120341937">
                  <w:marLeft w:val="0"/>
                  <w:marRight w:val="0"/>
                  <w:marTop w:val="0"/>
                  <w:marBottom w:val="0"/>
                  <w:divBdr>
                    <w:top w:val="none" w:sz="0" w:space="0" w:color="auto"/>
                    <w:left w:val="none" w:sz="0" w:space="0" w:color="auto"/>
                    <w:bottom w:val="none" w:sz="0" w:space="0" w:color="auto"/>
                    <w:right w:val="none" w:sz="0" w:space="0" w:color="auto"/>
                  </w:divBdr>
                </w:div>
                <w:div w:id="754477215">
                  <w:marLeft w:val="0"/>
                  <w:marRight w:val="0"/>
                  <w:marTop w:val="0"/>
                  <w:marBottom w:val="0"/>
                  <w:divBdr>
                    <w:top w:val="none" w:sz="0" w:space="0" w:color="auto"/>
                    <w:left w:val="none" w:sz="0" w:space="0" w:color="auto"/>
                    <w:bottom w:val="none" w:sz="0" w:space="0" w:color="auto"/>
                    <w:right w:val="none" w:sz="0" w:space="0" w:color="auto"/>
                  </w:divBdr>
                </w:div>
                <w:div w:id="1246719662">
                  <w:marLeft w:val="0"/>
                  <w:marRight w:val="0"/>
                  <w:marTop w:val="0"/>
                  <w:marBottom w:val="0"/>
                  <w:divBdr>
                    <w:top w:val="none" w:sz="0" w:space="0" w:color="auto"/>
                    <w:left w:val="none" w:sz="0" w:space="0" w:color="auto"/>
                    <w:bottom w:val="none" w:sz="0" w:space="0" w:color="auto"/>
                    <w:right w:val="none" w:sz="0" w:space="0" w:color="auto"/>
                  </w:divBdr>
                </w:div>
                <w:div w:id="2079862226">
                  <w:marLeft w:val="0"/>
                  <w:marRight w:val="0"/>
                  <w:marTop w:val="0"/>
                  <w:marBottom w:val="0"/>
                  <w:divBdr>
                    <w:top w:val="none" w:sz="0" w:space="0" w:color="auto"/>
                    <w:left w:val="none" w:sz="0" w:space="0" w:color="auto"/>
                    <w:bottom w:val="none" w:sz="0" w:space="0" w:color="auto"/>
                    <w:right w:val="none" w:sz="0" w:space="0" w:color="auto"/>
                  </w:divBdr>
                  <w:divsChild>
                    <w:div w:id="568930377">
                      <w:marLeft w:val="0"/>
                      <w:marRight w:val="0"/>
                      <w:marTop w:val="0"/>
                      <w:marBottom w:val="0"/>
                      <w:divBdr>
                        <w:top w:val="single" w:sz="6" w:space="0" w:color="E1E2E6"/>
                        <w:left w:val="single" w:sz="6" w:space="0" w:color="E1E2E6"/>
                        <w:bottom w:val="single" w:sz="6" w:space="0" w:color="E1E2E6"/>
                        <w:right w:val="single" w:sz="6" w:space="0" w:color="E1E2E6"/>
                      </w:divBdr>
                      <w:divsChild>
                        <w:div w:id="5817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27895">
                  <w:marLeft w:val="0"/>
                  <w:marRight w:val="0"/>
                  <w:marTop w:val="0"/>
                  <w:marBottom w:val="0"/>
                  <w:divBdr>
                    <w:top w:val="none" w:sz="0" w:space="0" w:color="auto"/>
                    <w:left w:val="none" w:sz="0" w:space="0" w:color="auto"/>
                    <w:bottom w:val="none" w:sz="0" w:space="0" w:color="auto"/>
                    <w:right w:val="none" w:sz="0" w:space="0" w:color="auto"/>
                  </w:divBdr>
                </w:div>
                <w:div w:id="878590360">
                  <w:marLeft w:val="0"/>
                  <w:marRight w:val="0"/>
                  <w:marTop w:val="0"/>
                  <w:marBottom w:val="0"/>
                  <w:divBdr>
                    <w:top w:val="none" w:sz="0" w:space="0" w:color="auto"/>
                    <w:left w:val="none" w:sz="0" w:space="0" w:color="auto"/>
                    <w:bottom w:val="none" w:sz="0" w:space="0" w:color="auto"/>
                    <w:right w:val="none" w:sz="0" w:space="0" w:color="auto"/>
                  </w:divBdr>
                </w:div>
                <w:div w:id="534347721">
                  <w:marLeft w:val="0"/>
                  <w:marRight w:val="0"/>
                  <w:marTop w:val="0"/>
                  <w:marBottom w:val="0"/>
                  <w:divBdr>
                    <w:top w:val="none" w:sz="0" w:space="0" w:color="auto"/>
                    <w:left w:val="none" w:sz="0" w:space="0" w:color="auto"/>
                    <w:bottom w:val="none" w:sz="0" w:space="0" w:color="auto"/>
                    <w:right w:val="none" w:sz="0" w:space="0" w:color="auto"/>
                  </w:divBdr>
                </w:div>
                <w:div w:id="2061316609">
                  <w:marLeft w:val="0"/>
                  <w:marRight w:val="0"/>
                  <w:marTop w:val="0"/>
                  <w:marBottom w:val="0"/>
                  <w:divBdr>
                    <w:top w:val="none" w:sz="0" w:space="0" w:color="auto"/>
                    <w:left w:val="none" w:sz="0" w:space="0" w:color="auto"/>
                    <w:bottom w:val="none" w:sz="0" w:space="0" w:color="auto"/>
                    <w:right w:val="none" w:sz="0" w:space="0" w:color="auto"/>
                  </w:divBdr>
                </w:div>
                <w:div w:id="193536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contributors/0/" TargetMode="External"/><Relationship Id="rId13" Type="http://schemas.openxmlformats.org/officeDocument/2006/relationships/hyperlink" Target="https://www.investopedia.com/terms/c/consumerstaples.asp" TargetMode="External"/><Relationship Id="rId18" Type="http://schemas.openxmlformats.org/officeDocument/2006/relationships/hyperlink" Target="https://www.investopedia.com/ask/answers/193.asp" TargetMode="External"/><Relationship Id="rId3" Type="http://schemas.openxmlformats.org/officeDocument/2006/relationships/settings" Target="settings.xml"/><Relationship Id="rId7" Type="http://schemas.openxmlformats.org/officeDocument/2006/relationships/hyperlink" Target="https://www.investopedia.com/articles/investing/030116/topdown-vs-bottomup.asp" TargetMode="External"/><Relationship Id="rId12" Type="http://schemas.openxmlformats.org/officeDocument/2006/relationships/hyperlink" Target="https://www.investopedia.com/terms/c/consumer-discretionary.asp" TargetMode="External"/><Relationship Id="rId17" Type="http://schemas.openxmlformats.org/officeDocument/2006/relationships/hyperlink" Target="https://www.investopedia.com/articles/investing/120915/charles-schwabs-top-funds-retirement-savings.asp" TargetMode="External"/><Relationship Id="rId2" Type="http://schemas.openxmlformats.org/officeDocument/2006/relationships/styles" Target="styles.xml"/><Relationship Id="rId16" Type="http://schemas.openxmlformats.org/officeDocument/2006/relationships/hyperlink" Target="https://www.investopedia.com/terms/f/fundamentals.as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vestopedia.com/terms/m/macroeconomics.asp" TargetMode="External"/><Relationship Id="rId5" Type="http://schemas.openxmlformats.org/officeDocument/2006/relationships/footnotes" Target="footnotes.xml"/><Relationship Id="rId15" Type="http://schemas.openxmlformats.org/officeDocument/2006/relationships/hyperlink" Target="https://www.investopedia.com/terms/b/bottomupinvesting.asp" TargetMode="External"/><Relationship Id="rId10" Type="http://schemas.openxmlformats.org/officeDocument/2006/relationships/hyperlink" Target="https://www.investopedia.com/terms/t/topdownanalysis.as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vestopedia.com/ask/answers/042215/whats-difference-between-budgeting-and-financial-forecasting.asp" TargetMode="External"/><Relationship Id="rId14" Type="http://schemas.openxmlformats.org/officeDocument/2006/relationships/hyperlink" Target="https://www.investopedia.com/terms/g/globalmacro.asp"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1077</Words>
  <Characters>6142</Characters>
  <Application>Microsoft Office Word</Application>
  <DocSecurity>0</DocSecurity>
  <Lines>51</Lines>
  <Paragraphs>14</Paragraphs>
  <ScaleCrop>false</ScaleCrop>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Kueng Pit Wing</dc:creator>
  <cp:keywords/>
  <dc:description/>
  <cp:lastModifiedBy>Kueng Pit Wing</cp:lastModifiedBy>
  <cp:revision>2</cp:revision>
  <dcterms:created xsi:type="dcterms:W3CDTF">2020-04-20T10:22:00Z</dcterms:created>
  <dcterms:modified xsi:type="dcterms:W3CDTF">2020-04-20T10:22:00Z</dcterms:modified>
</cp:coreProperties>
</file>