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Remaining Experiments — Full Protocol</w:t>
      </w:r>
    </w:p>
    <w:p>
      <w:r>
        <w:rPr>
          <w:b/>
        </w:rPr>
        <w:t>Scope:</w:t>
      </w:r>
      <w:r>
        <w:t xml:space="preserve"> E1 decision tree · E2 label-level fusion · E3 on-device cycle · E4 turmeric CL validation.</w:t>
      </w:r>
    </w:p>
    <w:p>
      <w:r>
        <w:rPr>
          <w:b/>
        </w:rPr>
        <w:t>Omitted per instruction:</w:t>
      </w:r>
      <w:r>
        <w:t xml:space="preserve"> cassava batch-size study (E6) — dropped, not referenced anywhere in the draft.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0 — REVIEW OF YOUR DECISION-TREE PLAN</w:t>
      </w:r>
    </w:p>
    <w:p>
      <w:pPr>
        <w:pStyle w:val="Heading2"/>
      </w:pPr>
      <w:r>
        <w:rPr>
          <w:color w:val="1F3864"/>
        </w:rPr>
        <w:t>0.1 Your plan, restated</w:t>
      </w:r>
    </w:p>
    <w:p>
      <w:pPr>
        <w:ind w:left="504"/>
      </w:pPr>
      <w:r>
        <w:rPr>
          <w:i/>
          <w:color w:val="444444"/>
        </w:rPr>
        <w:t>Take the environmental docs → extract the 4 measurement parameters → define low / medium / high risk threshold bands → generate dummy data from those bands → train the decision tree on it.</w:t>
      </w:r>
    </w:p>
    <w:p>
      <w:pPr>
        <w:pStyle w:val="Heading2"/>
      </w:pPr>
      <w:r>
        <w:rPr>
          <w:color w:val="1F3864"/>
        </w:rPr>
        <w:t>0.2 The problem: this is circular</w:t>
      </w:r>
    </w:p>
    <w:p>
      <w:r>
        <w:t xml:space="preserve">If you define the rule </w:t>
      </w:r>
      <w:r>
        <w:rPr>
          <w:rFonts w:ascii="Consolas" w:hAnsi="Consolas"/>
          <w:sz w:val="18"/>
        </w:rPr>
        <w:t>humidity &gt; 85% AND soil moisture high → HIGH risk</w:t>
      </w:r>
      <w:r>
        <w:t xml:space="preserve">, then generate data labelled by that rule, then train a decision tree on it — </w:t>
      </w:r>
      <w:r>
        <w:rPr>
          <w:b/>
        </w:rPr>
        <w:t>the tree will recover your rule and report ~99–100% accuracy.</w:t>
      </w:r>
      <w:r>
        <w:t xml:space="preserve"> That number measures nothing. It says "a decision tree can fit a decision rule", which was never in question.</w:t>
      </w:r>
    </w:p>
    <w:p>
      <w:r>
        <w:t xml:space="preserve">This matters concretely for the paper. Table VIII would present that accuracy alongside the genuinely-earned CL accuracies in Tables III–VI, and a reviewer who notices the labels were synthesized from the same thresholds the model recovers will treat it as inflating the contribution — which puts the credibility of the </w:t>
      </w:r>
      <w:r>
        <w:rPr>
          <w:i/>
        </w:rPr>
        <w:t>real</w:t>
      </w:r>
      <w:r>
        <w:t xml:space="preserve"> results at risk too. The CL benchmark is strong enough that it should not be exposed to that.</w:t>
      </w:r>
    </w:p>
    <w:p>
      <w:r>
        <w:t>Two further technical issues in the plan as stated:</w:t>
      </w:r>
    </w:p>
    <w:p>
      <w:r>
        <w:rPr>
          <w:b/>
        </w:rPr>
        <w:t>CO₂ is not a disease driver.</w:t>
      </w:r>
      <w:r>
        <w:t xml:space="preserve"> Temperature, humidity and soil moisture have direct causal links to fungal infection. CO₂ does not — elevated CO₂ in a closed greenhouse indicates </w:t>
      </w:r>
      <w:r>
        <w:rPr>
          <w:b/>
        </w:rPr>
        <w:t>poor ventilation</w:t>
      </w:r>
      <w:r>
        <w:t xml:space="preserve">, which lengthens leaf wetness duration, which raises fungal risk. It is a </w:t>
      </w:r>
      <w:r>
        <w:rPr>
          <w:i/>
        </w:rPr>
        <w:t>proxy variable</w:t>
      </w:r>
      <w:r>
        <w:t>, and the paper must say so. A plant-pathology reviewer will otherwise ask why CO₂ is in the feature set, and "it was one of our sensors" is not an answer.</w:t>
      </w:r>
    </w:p>
    <w:p>
      <w:r>
        <w:rPr>
          <w:b/>
        </w:rPr>
        <w:t>Random train/test splitting on time-series data leaks.</w:t>
      </w:r>
      <w:r>
        <w:t xml:space="preserve"> Consecutive sensor readings are strongly autocorrelated — the reading one minute later is nearly identical. A random split puts near-duplicate rows on both sides and inflates test accuracy dramatically. You must split by </w:t>
      </w:r>
      <w:r>
        <w:rPr>
          <w:b/>
        </w:rPr>
        <w:t>time block</w:t>
      </w:r>
      <w:r>
        <w:t xml:space="preserve"> (e.g. whole days), never randomly.</w:t>
      </w:r>
    </w:p>
    <w:p>
      <w:pPr>
        <w:pStyle w:val="Heading2"/>
      </w:pPr>
      <w:r>
        <w:rPr>
          <w:color w:val="1F3864"/>
        </w:rPr>
        <w:t>0.3 Three ways forward</w:t>
      </w:r>
    </w:p>
    <w:p>
      <w:r>
        <w:rPr>
          <w:b/>
        </w:rPr>
        <w:t>Tier C — your plan, honestly reframed.</w:t>
      </w:r>
      <w:r>
        <w:t xml:space="preserve"> Keep the approach but stop calling it learning. Present it as </w:t>
      </w:r>
      <w:r>
        <w:rPr>
          <w:i/>
        </w:rPr>
        <w:t>rule distillation</w:t>
      </w:r>
      <w:r>
        <w:t xml:space="preserve">: published agronomic thresholds compiled into a decision tree so they execute cheaply and auditably on the edge. Report </w:t>
      </w:r>
      <w:r>
        <w:rPr>
          <w:b/>
        </w:rPr>
        <w:t>fidelity to the rule set</w:t>
      </w:r>
      <w:r>
        <w:t xml:space="preserve"> and inference cost, not "accuracy". Fully honest, but contributes little scientifically.</w:t>
      </w:r>
    </w:p>
    <w:p>
      <w:r>
        <w:rPr>
          <w:b/>
        </w:rPr>
        <w:t>Tier B — RECOMMENDED, unblocks the paper now.</w:t>
      </w:r>
      <w:r>
        <w:t xml:space="preserve"> Same synthetic-data approach, but with two changes that make it defensible:</w:t>
      </w:r>
    </w:p>
    <w:p>
      <w:pPr>
        <w:pStyle w:val="ListNumber"/>
      </w:pPr>
      <w:r>
        <w:rPr>
          <w:b/>
        </w:rPr>
        <w:t>Labels come from published plant-pathology relations, not from thresholds you invented.</w:t>
      </w:r>
      <w:r>
        <w:t xml:space="preserve"> For the turmeric fungal pathogens the driver is leaf-wetness duration combined with temperature; cite Agrios [25] and the environmental-risk modelling of Lee &amp; Yun [26] as the basis. The tree then learns an </w:t>
      </w:r>
      <w:r>
        <w:rPr>
          <w:i/>
        </w:rPr>
        <w:t>external, citable</w:t>
      </w:r>
      <w:r>
        <w:t xml:space="preserve"> relationship.</w:t>
      </w:r>
    </w:p>
    <w:p>
      <w:pPr>
        <w:pStyle w:val="ListNumber"/>
      </w:pPr>
      <w:r>
        <w:rPr>
          <w:b/>
        </w:rPr>
        <w:t>The simulator generates realistic traces, not uniform noise</w:t>
      </w:r>
      <w:r>
        <w:t xml:space="preserve"> — diurnal temperature and humidity cycles, autocorrelation, sensor noise, occasional dropouts, and seasonal drift. Then the honest, reportable results are </w:t>
      </w:r>
      <w:r>
        <w:rPr>
          <w:i/>
        </w:rPr>
        <w:t>generalization to environmental regimes not seen in training</w:t>
      </w:r>
      <w:r>
        <w:t xml:space="preserve"> and </w:t>
      </w:r>
      <w:r>
        <w:rPr>
          <w:i/>
        </w:rPr>
        <w:t>robustness to sensor noise and dropout</w:t>
      </w:r>
      <w:r>
        <w:t>. Those are real questions with non-trivial answers.</w:t>
      </w:r>
    </w:p>
    <w:p>
      <w:r>
        <w:rPr>
          <w:b/>
        </w:rPr>
        <w:t>Tier A — best, if your data allows.</w:t>
      </w:r>
      <w:r>
        <w:t xml:space="preserve"> Make the label an </w:t>
      </w:r>
      <w:r>
        <w:rPr>
          <w:b/>
        </w:rPr>
        <w:t>observed outcome</w:t>
      </w:r>
      <w:r>
        <w:t xml:space="preserve"> instead of a rule: using the per-class leaf counts your own pipeline already produces daily, define the target as </w:t>
      </w:r>
      <w:r>
        <w:rPr>
          <w:i/>
        </w:rPr>
        <w:t>"does the count of any disease class rise by more than X% over the next N days?"</w:t>
      </w:r>
      <w:r>
        <w:t xml:space="preserve"> Now the tree performs genuine forecasting from real sensors against real outcomes, and Table VIII becomes a legitimate result. Requires roughly 4–8 weeks of paired sensor + capture data from the deployed unit.</w:t>
      </w:r>
    </w:p>
    <w:p>
      <w:r>
        <w:rPr>
          <w:b/>
        </w:rPr>
        <w:t>Recommendation:</w:t>
      </w:r>
      <w:r>
        <w:t xml:space="preserve"> build </w:t>
      </w:r>
      <w:r>
        <w:rPr>
          <w:b/>
        </w:rPr>
        <w:t>Tier B now</w:t>
      </w:r>
      <w:r>
        <w:t xml:space="preserve"> so the paper is not blocked, and start accumulating Tier A data in parallel from the moment the unit is installed. If Tier A data matures before submission, swap it in — the protocol below is written so that only the labelling step changes.</w:t>
      </w:r>
    </w:p>
    <w:p>
      <w:r>
        <w:rPr>
          <w:b/>
        </w:rPr>
        <w:t>Whichever tier you use, the paper must state plainly that the environmental data is simulated.</w:t>
      </w:r>
      <w:r>
        <w:t xml:space="preserve"> Non-disclosure here is the one thing that would turn a methodological weakness into an integrity problem. One sentence in Section VI is enough, and it costs you nothing — reviewers accept simulated sensor data in a systems paper when it is declared.</w:t>
      </w:r>
    </w:p>
    <w:p>
      <w:pPr>
        <w:pStyle w:val="Heading2"/>
      </w:pPr>
      <w:r>
        <w:rPr>
          <w:color w:val="1F3864"/>
        </w:rPr>
        <w:t>0.4 One change to the draft</w:t>
      </w:r>
    </w:p>
    <w:p>
      <w:r>
        <w:t xml:space="preserve">Your plan says </w:t>
      </w:r>
      <w:r>
        <w:rPr>
          <w:b/>
        </w:rPr>
        <w:t>low / medium / high</w:t>
      </w:r>
      <w:r>
        <w:t xml:space="preserve"> (3 classes); the draft's Table VIII currently has 4 (Low/Medium/High/Critical). </w:t>
      </w:r>
      <w:r>
        <w:rPr>
          <w:b/>
        </w:rPr>
        <w:t>Go with 3.</w:t>
      </w:r>
      <w:r>
        <w:t xml:space="preserve"> A fourth "Critical" band is hard to justify agronomically and would carry very few samples, producing an unstable per-class F1. I will note this in the checklist — update Table VIII to 3 rows.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1 — E1: DECISION-TREE ENVIRONMENTAL RISK MODEL</w:t>
      </w:r>
    </w:p>
    <w:p>
      <w:r>
        <w:rPr>
          <w:i/>
        </w:rPr>
        <w:t>Fills Table VIII (P10). Written for Tier B; the Tier A variant differs only at Step 3.</w:t>
      </w:r>
    </w:p>
    <w:p>
      <w:pPr>
        <w:pStyle w:val="Heading2"/>
      </w:pPr>
      <w:r>
        <w:rPr>
          <w:color w:val="1F3864"/>
        </w:rPr>
        <w:t>Step 1 — Feature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Sensor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Air temperature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°C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DHT22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— governs pathogen development rate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Relative humidity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DHT22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— primary fungal infection driver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Soil moisture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% VWC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Capacitive probe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— waterlogging; raises canopy humidity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CO₂ concentration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ppm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MH-Z19 / equivalent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Proxy for ventilation</w:t>
            </w:r>
            <w:r>
              <w:rPr>
                <w:sz w:val="17"/>
              </w:rPr>
              <w:t xml:space="preserve"> — stagnant air extends leaf wetness</w:t>
            </w:r>
          </w:p>
        </w:tc>
      </w:tr>
    </w:tbl>
    <w:p/>
    <w:p>
      <w:r>
        <w:t>Derive engineered features from the raw window — a tree over instantaneous readings alone cannot express "sustained" conditions, which is what actually drives infection:</w:t>
      </w:r>
    </w:p>
    <w:p>
      <w:pPr>
        <w:pStyle w:val="ListBullet"/>
      </w:pPr>
      <w:r>
        <w:rPr>
          <w:rFonts w:ascii="Consolas" w:hAnsi="Consolas"/>
          <w:sz w:val="18"/>
        </w:rPr>
        <w:t>humidity_mean_24h</w:t>
      </w:r>
      <w:r>
        <w:t xml:space="preserve">, </w:t>
      </w:r>
      <w:r>
        <w:rPr>
          <w:rFonts w:ascii="Consolas" w:hAnsi="Consolas"/>
          <w:sz w:val="18"/>
        </w:rPr>
        <w:t>humidity_max_24h</w:t>
      </w:r>
    </w:p>
    <w:p>
      <w:pPr>
        <w:pStyle w:val="ListBullet"/>
      </w:pPr>
      <w:r>
        <w:rPr>
          <w:b/>
        </w:rPr>
        <w:t>`hours_humidity_above_85_24h`</w:t>
      </w:r>
      <w:r>
        <w:t xml:space="preserve"> ← expected to be the dominant feature</w:t>
      </w:r>
    </w:p>
    <w:p>
      <w:pPr>
        <w:pStyle w:val="ListBullet"/>
      </w:pPr>
      <w:r>
        <w:rPr>
          <w:rFonts w:ascii="Consolas" w:hAnsi="Consolas"/>
          <w:sz w:val="18"/>
        </w:rPr>
        <w:t>temp_mean_24h</w:t>
      </w:r>
      <w:r>
        <w:t xml:space="preserve">, </w:t>
      </w:r>
      <w:r>
        <w:rPr>
          <w:rFonts w:ascii="Consolas" w:hAnsi="Consolas"/>
          <w:sz w:val="18"/>
        </w:rPr>
        <w:t>temp_min_24h</w:t>
      </w:r>
      <w:r>
        <w:t xml:space="preserve">, </w:t>
      </w:r>
      <w:r>
        <w:rPr>
          <w:rFonts w:ascii="Consolas" w:hAnsi="Consolas"/>
          <w:sz w:val="18"/>
        </w:rPr>
        <w:t>temp_range_24h</w:t>
      </w:r>
    </w:p>
    <w:p>
      <w:pPr>
        <w:pStyle w:val="ListBullet"/>
      </w:pPr>
      <w:r>
        <w:rPr>
          <w:rFonts w:ascii="Consolas" w:hAnsi="Consolas"/>
          <w:sz w:val="18"/>
        </w:rPr>
        <w:t>hours_temp_in_22_30_band_24h</w:t>
      </w:r>
      <w:r>
        <w:t xml:space="preserve"> (pathogen-favourable range)</w:t>
      </w:r>
    </w:p>
    <w:p>
      <w:pPr>
        <w:pStyle w:val="ListBullet"/>
      </w:pPr>
      <w:r>
        <w:rPr>
          <w:rFonts w:ascii="Consolas" w:hAnsi="Consolas"/>
          <w:sz w:val="18"/>
        </w:rPr>
        <w:t>soil_moisture_mean_24h</w:t>
      </w:r>
    </w:p>
    <w:p>
      <w:pPr>
        <w:pStyle w:val="ListBullet"/>
      </w:pPr>
      <w:r>
        <w:rPr>
          <w:rFonts w:ascii="Consolas" w:hAnsi="Consolas"/>
          <w:sz w:val="18"/>
        </w:rPr>
        <w:t>co2_mean_24h</w:t>
      </w:r>
      <w:r>
        <w:t xml:space="preserve"> (ventilation proxy)</w:t>
      </w:r>
    </w:p>
    <w:p>
      <w:pPr>
        <w:pStyle w:val="ListBullet"/>
      </w:pPr>
      <w:r>
        <w:rPr>
          <w:rFonts w:ascii="Consolas" w:hAnsi="Consolas"/>
          <w:sz w:val="18"/>
        </w:rPr>
        <w:t>humidity_trend_24h</w:t>
      </w:r>
      <w:r>
        <w:t xml:space="preserve"> (slope, rising vs falling)</w:t>
      </w:r>
    </w:p>
    <w:p>
      <w:r>
        <w:t>One feature row = one 24-hour window, aligned to a capture set. This is the correct granularity: it matches the daily cadence of the vision branch, so fusion in E2 lines up without resampling.</w:t>
      </w:r>
    </w:p>
    <w:p>
      <w:pPr>
        <w:pStyle w:val="Heading2"/>
      </w:pPr>
      <w:r>
        <w:rPr>
          <w:color w:val="1F3864"/>
        </w:rPr>
        <w:t>Step 2 — Synthetic trace generation</w:t>
      </w:r>
    </w:p>
    <w:p>
      <w:r>
        <w:t xml:space="preserve">Generate </w:t>
      </w:r>
      <w:r>
        <w:rPr>
          <w:b/>
        </w:rPr>
        <w:t>≥ 180 simulated days</w:t>
      </w:r>
      <w:r>
        <w:t xml:space="preserve"> (≈ 6 months, so multiple seasonal regimes appear). For each variable:</w:t>
      </w:r>
    </w:p>
    <w:p>
      <w:pPr>
        <w:pStyle w:val="ListBullet"/>
      </w:pPr>
      <w:r>
        <w:rPr>
          <w:b/>
        </w:rPr>
        <w:t>Diurnal cycle:</w:t>
      </w:r>
      <w:r>
        <w:t xml:space="preserve"> sinusoid — temperature peaks mid-afternoon, humidity anti-correlated (peaks pre-dawn).</w:t>
      </w:r>
    </w:p>
    <w:p>
      <w:pPr>
        <w:pStyle w:val="ListBullet"/>
      </w:pPr>
      <w:r>
        <w:rPr>
          <w:b/>
        </w:rPr>
        <w:t>Seasonal drift:</w:t>
      </w:r>
      <w:r>
        <w:t xml:space="preserve"> slow sinusoid over the 180 days, plus a distinct "monsoon" block of ~30 consecutive days with sustained high humidity, to create a genuinely different regime.</w:t>
      </w:r>
    </w:p>
    <w:p>
      <w:pPr>
        <w:pStyle w:val="ListBullet"/>
      </w:pPr>
      <w:r>
        <w:rPr>
          <w:b/>
        </w:rPr>
        <w:t>Autocorrelation:</w:t>
      </w:r>
      <w:r>
        <w:t xml:space="preserve"> AR(1) noise, not i.i.d. — real sensors drift smoothly.</w:t>
      </w:r>
    </w:p>
    <w:p>
      <w:pPr>
        <w:pStyle w:val="ListBullet"/>
      </w:pPr>
      <w:r>
        <w:rPr>
          <w:b/>
        </w:rPr>
        <w:t>Sensor noise:</w:t>
      </w:r>
      <w:r>
        <w:t xml:space="preserve"> Gaussian, per-sensor σ matched to datasheet accuracy (DHT22: ±0.5 °C, ±2–5% RH).</w:t>
      </w:r>
    </w:p>
    <w:p>
      <w:pPr>
        <w:pStyle w:val="ListBullet"/>
      </w:pPr>
      <w:r>
        <w:rPr>
          <w:b/>
        </w:rPr>
        <w:t>Dropouts:</w:t>
      </w:r>
      <w:r>
        <w:t xml:space="preserve"> randomly null ~2% of readings to test robustness.</w:t>
      </w:r>
    </w:p>
    <w:p>
      <w:r>
        <w:t>Save the generated raw trace as CSV, at the same 1-reading-per-second rate as the dev CSV described in your Jetson doc, then aggregate into the 24-hour feature windows.</w:t>
      </w:r>
    </w:p>
    <w:p>
      <w:pPr>
        <w:pStyle w:val="Heading2"/>
      </w:pPr>
      <w:r>
        <w:rPr>
          <w:color w:val="1F3864"/>
        </w:rPr>
        <w:t>Step 3 — Labelling (</w:t>
      </w:r>
      <w:r>
        <w:rPr>
          <w:b/>
          <w:color w:val="1F3864"/>
        </w:rPr>
        <w:t>the step that differs by tier</w:t>
      </w:r>
      <w:r>
        <w:rPr>
          <w:color w:val="1F3864"/>
        </w:rPr>
        <w:t>)</w:t>
      </w:r>
    </w:p>
    <w:p>
      <w:r>
        <w:rPr>
          <w:b/>
        </w:rPr>
        <w:t>Tier B:</w:t>
      </w:r>
      <w:r>
        <w:t xml:space="preserve"> label each 24-hour window by an infection-pressure score built from </w:t>
      </w:r>
      <w:r>
        <w:rPr>
          <w:i/>
        </w:rPr>
        <w:t>published</w:t>
      </w:r>
      <w:r>
        <w:t xml:space="preserve"> relations — the accumulation of hours in the pathogen-favourable temperature band while humidity is above the wetness threshold, modulated by the ventilation proxy. Bin the resulting score into Low / Medium / High. Document the exact function in the paper and cite its basis. </w:t>
      </w:r>
      <w:r>
        <w:rPr>
          <w:b/>
        </w:rPr>
        <w:t>Add label noise (~5%)</w:t>
      </w:r>
      <w:r>
        <w:t xml:space="preserve"> to prevent the tree from achieving a degenerate 100% and to simulate real-world diagnostic uncertainty.</w:t>
      </w:r>
    </w:p>
    <w:p>
      <w:r>
        <w:rPr>
          <w:b/>
        </w:rPr>
        <w:t>Tier A:</w:t>
      </w:r>
      <w:r>
        <w:t xml:space="preserve"> label each window by the </w:t>
      </w:r>
      <w:r>
        <w:rPr>
          <w:i/>
        </w:rPr>
        <w:t>observed</w:t>
      </w:r>
      <w:r>
        <w:t xml:space="preserve"> outcome from the vision branch — whether any disease-class leaf count rose by more than X% over the following N days. No score function needed; the label is empirical.</w:t>
      </w:r>
    </w:p>
    <w:p>
      <w:r>
        <w:t>Check class balance and target roughly 40 / 35 / 25 (Low / Medium / High). Do not force exact balance — high-risk days genuinely are rarer, and the model should see that prior.</w:t>
      </w:r>
    </w:p>
    <w:p>
      <w:pPr>
        <w:pStyle w:val="Heading2"/>
      </w:pPr>
      <w:r>
        <w:rPr>
          <w:color w:val="1F3864"/>
        </w:rPr>
        <w:t>Step 4 — Splitting (</w:t>
      </w:r>
      <w:r>
        <w:rPr>
          <w:b/>
          <w:color w:val="1F3864"/>
        </w:rPr>
        <w:t>do not skip</w:t>
      </w:r>
      <w:r>
        <w:rPr>
          <w:color w:val="1F3864"/>
        </w:rPr>
        <w:t>)</w:t>
      </w:r>
    </w:p>
    <w:p>
      <w:r>
        <w:t xml:space="preserve">Split by </w:t>
      </w:r>
      <w:r>
        <w:rPr>
          <w:b/>
        </w:rPr>
        <w:t>contiguous time blocks</w:t>
      </w:r>
      <w:r>
        <w:t>, never randomly:</w:t>
      </w:r>
    </w:p>
    <w:p>
      <w:pPr>
        <w:pStyle w:val="ListBullet"/>
      </w:pPr>
      <w:r>
        <w:t>Train: days 1–126 (70%)</w:t>
      </w:r>
    </w:p>
    <w:p>
      <w:pPr>
        <w:pStyle w:val="ListBullet"/>
      </w:pPr>
      <w:r>
        <w:t>Validation: days 127–153 (15%)</w:t>
      </w:r>
    </w:p>
    <w:p>
      <w:pPr>
        <w:pStyle w:val="ListBullet"/>
      </w:pPr>
      <w:r>
        <w:t>Test: days 154–180 (15%)</w:t>
      </w:r>
    </w:p>
    <w:p>
      <w:r>
        <w:t xml:space="preserve">Ensure the monsoon regime falls at least partly in the </w:t>
      </w:r>
      <w:r>
        <w:rPr>
          <w:b/>
        </w:rPr>
        <w:t>test</w:t>
      </w:r>
      <w:r>
        <w:t xml:space="preserve"> block — that gives you the generalization claim: the tree holds up on an environmental regime it did not train on. State the split policy and the reason in the paper; it signals methodological care.</w:t>
      </w:r>
    </w:p>
    <w:p>
      <w:pPr>
        <w:pStyle w:val="Heading2"/>
      </w:pPr>
      <w:r>
        <w:rPr>
          <w:color w:val="1F3864"/>
        </w:rPr>
        <w:t>Step 5 — Training</w:t>
      </w:r>
    </w:p>
    <w:p>
      <w:r>
        <w:rPr>
          <w:rFonts w:ascii="Consolas" w:hAnsi="Consolas"/>
          <w:sz w:val="18"/>
        </w:rPr>
        <w:t>sklearn.tree.DecisionTreeClassifier</w:t>
      </w:r>
      <w:r>
        <w:t xml:space="preserve">. Grid search over </w:t>
      </w:r>
      <w:r>
        <w:rPr>
          <w:rFonts w:ascii="Consolas" w:hAnsi="Consolas"/>
          <w:sz w:val="18"/>
        </w:rPr>
        <w:t>max_depth ∈ {3,4,5,6,8}</w:t>
      </w:r>
      <w:r>
        <w:t xml:space="preserve">, </w:t>
      </w:r>
      <w:r>
        <w:rPr>
          <w:rFonts w:ascii="Consolas" w:hAnsi="Consolas"/>
          <w:sz w:val="18"/>
        </w:rPr>
        <w:t>min_samples_leaf ∈ {5,10,20}</w:t>
      </w:r>
      <w:r>
        <w:t xml:space="preserve">, </w:t>
      </w:r>
      <w:r>
        <w:rPr>
          <w:rFonts w:ascii="Consolas" w:hAnsi="Consolas"/>
          <w:sz w:val="18"/>
        </w:rPr>
        <w:t>criterion ∈ {gini, entropy}</w:t>
      </w:r>
      <w:r>
        <w:t xml:space="preserve">, with </w:t>
      </w:r>
      <w:r>
        <w:rPr>
          <w:rFonts w:ascii="Consolas" w:hAnsi="Consolas"/>
          <w:sz w:val="18"/>
        </w:rPr>
        <w:t>class_weight='balanced'</w:t>
      </w:r>
      <w:r>
        <w:t xml:space="preserve">. Select on </w:t>
      </w:r>
      <w:r>
        <w:rPr>
          <w:b/>
        </w:rPr>
        <w:t>validation macro-F1</w:t>
      </w:r>
      <w:r>
        <w:t>, not accuracy.</w:t>
      </w:r>
    </w:p>
    <w:p>
      <w:r>
        <w:rPr>
          <w:b/>
        </w:rPr>
        <w:t>Constrain depth to ≤ 5.</w:t>
      </w:r>
      <w:r>
        <w:t xml:space="preserve"> The entire justification for using a tree is auditability; a depth-12 tree is not auditable and you lose the argument that motivated the choice. If a shallow tree costs a little accuracy, that trade </w:t>
      </w:r>
      <w:r>
        <w:rPr>
          <w:i/>
        </w:rPr>
        <w:t>is</w:t>
      </w:r>
      <w:r>
        <w:t xml:space="preserve"> the finding — report it.</w:t>
      </w:r>
    </w:p>
    <w:p>
      <w:pPr>
        <w:pStyle w:val="Heading2"/>
      </w:pPr>
      <w:r>
        <w:rPr>
          <w:color w:val="1F3864"/>
        </w:rPr>
        <w:t>Step 6 — Reporting (Table VIII, 3 classes)</w:t>
      </w:r>
    </w:p>
    <w:p>
      <w:pPr>
        <w:pStyle w:val="ListBullet"/>
      </w:pPr>
      <w:r>
        <w:t>Per-class precision / recall / F1 / support, plus overall accuracy and macro-F1</w:t>
      </w:r>
    </w:p>
    <w:p>
      <w:pPr>
        <w:pStyle w:val="ListBullet"/>
      </w:pPr>
      <w:r>
        <w:t>Confusion matrix (Low↔Medium confusion is acceptable and expected; Low↔High is not)</w:t>
      </w:r>
    </w:p>
    <w:p>
      <w:pPr>
        <w:pStyle w:val="ListBullet"/>
      </w:pPr>
      <w:r>
        <w:t>Tree depth and leaf count</w:t>
      </w:r>
    </w:p>
    <w:p>
      <w:pPr>
        <w:pStyle w:val="ListBullet"/>
      </w:pPr>
      <w:r>
        <w:rPr>
          <w:b/>
        </w:rPr>
        <w:t>Ranked feature importances</w:t>
      </w:r>
      <w:r>
        <w:t xml:space="preserve"> — </w:t>
      </w:r>
      <w:r>
        <w:rPr>
          <w:rFonts w:ascii="Consolas" w:hAnsi="Consolas"/>
          <w:sz w:val="18"/>
        </w:rPr>
        <w:t>hours_humidity_above_85_24h</w:t>
      </w:r>
      <w:r>
        <w:t xml:space="preserve"> should dominate; if it does not, something is wrong with the label function</w:t>
      </w:r>
    </w:p>
    <w:p>
      <w:pPr>
        <w:pStyle w:val="ListBullet"/>
      </w:pPr>
      <w:r>
        <w:t>Inference latency (expect microseconds — makes the "negligible alongside three neural stages" claim concrete)</w:t>
      </w:r>
    </w:p>
    <w:p>
      <w:pPr>
        <w:pStyle w:val="ListBullet"/>
      </w:pPr>
      <w:r>
        <w:rPr>
          <w:b/>
        </w:rPr>
        <w:t>Baseline comparison rows:</w:t>
      </w:r>
      <w:r>
        <w:t xml:space="preserve"> majority-class baseline, plus a random forest. If the RF beats the tree by only ~1–2 points, that gap is the quantified price of interpretability and directly justifies the design choice.</w:t>
      </w:r>
    </w:p>
    <w:p>
      <w:pPr>
        <w:pStyle w:val="ListBullet"/>
      </w:pPr>
      <w:r>
        <w:rPr>
          <w:b/>
        </w:rPr>
        <w:t>Robustness:</w:t>
      </w:r>
      <w:r>
        <w:t xml:space="preserve"> re-evaluate with sensor noise doubled, and with 10% dropout. Degradation curves here are worth more than the headline accuracy.</w:t>
      </w:r>
    </w:p>
    <w:p>
      <w:pPr>
        <w:pStyle w:val="Heading2"/>
      </w:pPr>
      <w:r>
        <w:rPr>
          <w:color w:val="1F3864"/>
        </w:rPr>
        <w:t>Step 7 — Also produce Fig. 5 panel (c) input</w:t>
      </w:r>
    </w:p>
    <w:p>
      <w:r>
        <w:t>Export one worked example — a real window from the test set where the tree outputs HIGH — to use as the concrete chain in Fig. 5.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2 — E2: LABEL-LEVEL FUSION EVALUATION</w:t>
      </w:r>
    </w:p>
    <w:p>
      <w:r>
        <w:rPr>
          <w:i/>
        </w:rPr>
        <w:t>Fills Table IX (P11).</w:t>
      </w:r>
    </w:p>
    <w:p>
      <w:pPr>
        <w:pStyle w:val="Heading2"/>
      </w:pPr>
      <w:r>
        <w:rPr>
          <w:color w:val="1F3864"/>
        </w:rPr>
        <w:t>Step 1 — Define the fusion rule Φ explicitly</w:t>
      </w:r>
    </w:p>
    <w:p>
      <w:r>
        <w:t xml:space="preserve">The draft states </w:t>
      </w:r>
      <w:r>
        <w:rPr>
          <w:rFonts w:ascii="Consolas" w:hAnsi="Consolas"/>
          <w:sz w:val="18"/>
        </w:rPr>
        <w:t>s_t = Φ(Δc_t, r_t)</w:t>
      </w:r>
      <w:r>
        <w:t>. Write out Φ as a rule table before evaluating — the paper needs it stated, and it must be fixed before you measure, not tuned afterwards on the test episodes.</w:t>
      </w:r>
    </w:p>
    <w:p>
      <w:r>
        <w:t>Suggested form (tune the thresholds on a validation split, then freeze):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Δ disease count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 state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Fused output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Rising (&gt; +20% over 3 days)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Alert</w:t>
            </w:r>
            <w:r>
              <w:rPr>
                <w:sz w:val="17"/>
              </w:rPr>
              <w:t xml:space="preserve"> — probable active infection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Rising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Watch</w:t>
            </w:r>
            <w:r>
              <w:rPr>
                <w:sz w:val="17"/>
              </w:rPr>
              <w:t xml:space="preserve"> — monitor closely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Rising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Observe</w:t>
            </w:r>
            <w:r>
              <w:rPr>
                <w:sz w:val="17"/>
              </w:rPr>
              <w:t xml:space="preserve"> — possible non-environmental cause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Watch</w:t>
            </w:r>
            <w:r>
              <w:rPr>
                <w:sz w:val="17"/>
              </w:rPr>
              <w:t xml:space="preserve"> — conditions favourable, no symptoms yet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Low/Med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Falling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Normal / recovering</w:t>
            </w:r>
          </w:p>
        </w:tc>
      </w:tr>
    </w:tbl>
    <w:p/>
    <w:p>
      <w:r>
        <w:t xml:space="preserve">Note that </w:t>
      </w:r>
      <w:r>
        <w:rPr>
          <w:rFonts w:ascii="Consolas" w:hAnsi="Consolas"/>
          <w:sz w:val="18"/>
        </w:rPr>
        <w:t>Stable + High → Watch</w:t>
      </w:r>
      <w:r>
        <w:t xml:space="preserve"> is the case that justifies fusion at all: it is the </w:t>
      </w:r>
      <w:r>
        <w:rPr>
          <w:i/>
        </w:rPr>
        <w:t>early warning</w:t>
      </w:r>
      <w:r>
        <w:t xml:space="preserve"> the vision branch alone cannot produce, because there are no symptoms yet.</w:t>
      </w:r>
    </w:p>
    <w:p>
      <w:pPr>
        <w:pStyle w:val="Heading2"/>
      </w:pPr>
      <w:r>
        <w:rPr>
          <w:color w:val="1F3864"/>
        </w:rPr>
        <w:t>Step 2 — Build the evaluation episode set</w:t>
      </w:r>
    </w:p>
    <w:p>
      <w:r>
        <w:t xml:space="preserve">An "episode" = one 3–7 day window with a ground-truth outcome label. Aim for </w:t>
      </w:r>
      <w:r>
        <w:rPr>
          <w:b/>
        </w:rPr>
        <w:t>30–50 episodes</w:t>
      </w:r>
      <w:r>
        <w:t xml:space="preserve"> minimum. Sources, in order of preference:</w:t>
      </w:r>
    </w:p>
    <w:p>
      <w:pPr>
        <w:pStyle w:val="ListNumber"/>
      </w:pPr>
      <w:r>
        <w:t>Real deployment windows labelled by an agronomist or by the eventual observed outcome</w:t>
      </w:r>
    </w:p>
    <w:p>
      <w:pPr>
        <w:pStyle w:val="ListNumber"/>
      </w:pPr>
      <w:r>
        <w:t>Turmeric dataset image sequences paired with the simulated environmental traces from E1</w:t>
      </w:r>
    </w:p>
    <w:p>
      <w:pPr>
        <w:pStyle w:val="ListNumber"/>
      </w:pPr>
      <w:r>
        <w:t>Constructed scenarios covering all six rows of the rule table — including the deliberately adversarial ones</w:t>
      </w:r>
    </w:p>
    <w:p>
      <w:r>
        <w:rPr>
          <w:b/>
        </w:rPr>
        <w:t>Include negative and adversarial episodes</w:t>
      </w:r>
      <w:r>
        <w:t xml:space="preserve"> or the table is worthless: rising counts under benign conditions (should NOT alert), high risk with no symptoms (early warning), and a sensor-dropout episode (should degrade to vision-only, not produce a wrong fused state).</w:t>
      </w:r>
    </w:p>
    <w:p>
      <w:pPr>
        <w:pStyle w:val="Heading2"/>
      </w:pPr>
      <w:r>
        <w:rPr>
          <w:color w:val="1F3864"/>
        </w:rPr>
        <w:t>Step 3 — Compare three decision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Input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Vision only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Δ counts, ignore environment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Sensor only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Decision-tree risk state, ignore images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Label-level fusion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Both, via Φ</w:t>
            </w:r>
          </w:p>
        </w:tc>
      </w:tr>
    </w:tbl>
    <w:p/>
    <w:p>
      <w:pPr>
        <w:pStyle w:val="Heading2"/>
      </w:pPr>
      <w:r>
        <w:rPr>
          <w:color w:val="1F3864"/>
        </w:rPr>
        <w:t>Step 4 — Report (Table IX)</w:t>
      </w:r>
    </w:p>
    <w:p>
      <w:pPr>
        <w:pStyle w:val="ListBullet"/>
      </w:pPr>
      <w:r>
        <w:t>Accuracy and macro-F1 on the final state</w:t>
      </w:r>
    </w:p>
    <w:p>
      <w:pPr>
        <w:pStyle w:val="ListBullet"/>
      </w:pPr>
      <w:r>
        <w:rPr>
          <w:b/>
        </w:rPr>
        <w:t>False-alarm rate</w:t>
      </w:r>
      <w:r>
        <w:t xml:space="preserve"> — the metric a farmer actually cares about; a system that cries wolf gets switched off</w:t>
      </w:r>
    </w:p>
    <w:p>
      <w:pPr>
        <w:pStyle w:val="ListBullet"/>
      </w:pPr>
      <w:r>
        <w:rPr>
          <w:b/>
        </w:rPr>
        <w:t>Early-warning lead time</w:t>
      </w:r>
      <w:r>
        <w:t xml:space="preserve"> (days between first Watch/Alert and confirmed outbreak), if your episodes support it. This is the single most persuasive number in the whole fusion section if you can produce it.</w:t>
      </w:r>
    </w:p>
    <w:p>
      <w:pPr>
        <w:pStyle w:val="ListBullet"/>
      </w:pPr>
      <w:r>
        <w:t xml:space="preserve">A </w:t>
      </w:r>
      <w:r>
        <w:rPr>
          <w:b/>
        </w:rPr>
        <w:t>sensor-failure row</w:t>
      </w:r>
      <w:r>
        <w:t xml:space="preserve">: fusion behaviour when </w:t>
      </w:r>
      <w:r>
        <w:rPr>
          <w:rFonts w:ascii="Consolas" w:hAnsi="Consolas"/>
          <w:sz w:val="18"/>
        </w:rPr>
        <w:t>r_t</w:t>
      </w:r>
      <w:r>
        <w:t xml:space="preserve"> is unavailable, demonstrating graceful degradation to vision-only</w:t>
      </w:r>
    </w:p>
    <w:p>
      <w:r>
        <w:rPr>
          <w:b/>
        </w:rPr>
        <w:t>Be prepared for fusion not to win on raw accuracy.</w:t>
      </w:r>
      <w:r>
        <w:t xml:space="preserve"> If vision-only matches it, say so, and argue the case on lead time and false-alarm rate instead. That is a more honest and more interesting result than a marginal accuracy bump, and reviewers respond well to it.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3 — E3: ON-DEVICE CYCLE COST AND LATENCY</w:t>
      </w:r>
    </w:p>
    <w:p>
      <w:r>
        <w:rPr>
          <w:i/>
        </w:rPr>
        <w:t xml:space="preserve">Fills Table X (P12). Must be measured </w:t>
      </w:r>
      <w:r>
        <w:rPr>
          <w:i/>
        </w:rPr>
        <w:t>on the Jetson Orin Nano</w:t>
      </w:r>
      <w:r>
        <w:rPr>
          <w:i/>
        </w:rPr>
        <w:t>, not on the training GPU.</w:t>
      </w:r>
    </w:p>
    <w:p>
      <w:pPr>
        <w:pStyle w:val="Heading2"/>
      </w:pPr>
      <w:r>
        <w:rPr>
          <w:color w:val="1F3864"/>
        </w:rPr>
        <w:t>Step 1 — Fix the measurement conditions</w:t>
      </w:r>
    </w:p>
    <w:p>
      <w:r>
        <w:t xml:space="preserve">Record and report: JetPack / TensorRT / PyTorch versions, </w:t>
      </w:r>
      <w:r>
        <w:rPr>
          <w:b/>
        </w:rPr>
        <w:t>power mode</w:t>
      </w:r>
      <w:r>
        <w:t xml:space="preserve"> (</w:t>
      </w:r>
      <w:r>
        <w:rPr>
          <w:rFonts w:ascii="Consolas" w:hAnsi="Consolas"/>
          <w:sz w:val="18"/>
        </w:rPr>
        <w:t>nvpmodel -q</w:t>
      </w:r>
      <w:r>
        <w:t>, e.g. 15 W vs 25 W), fan setting, and ambient temperature. Different power modes change these numbers by a factor of two — an unreported power mode makes the results irreproducible.</w:t>
      </w:r>
    </w:p>
    <w:p>
      <w:pPr>
        <w:pStyle w:val="Heading2"/>
      </w:pPr>
      <w:r>
        <w:rPr>
          <w:color w:val="1F3864"/>
        </w:rPr>
        <w:t>Step 2 — Retraining cycle</w:t>
      </w:r>
    </w:p>
    <w:p>
      <w:r>
        <w:t>Run one complete monthly cycle on device with the winning recipe. Measure:</w:t>
      </w:r>
    </w:p>
    <w:p>
      <w:pPr>
        <w:pStyle w:val="ListBullet"/>
      </w:pPr>
      <w:r>
        <w:t>Wall-clock time for the fine-tune (</w:t>
      </w:r>
      <w:r>
        <w:rPr>
          <w:rFonts w:ascii="Consolas" w:hAnsi="Consolas"/>
          <w:sz w:val="18"/>
        </w:rPr>
        <w:t>time</w:t>
      </w:r>
      <w:r>
        <w:t>), with per-epoch breakdown</w:t>
      </w:r>
    </w:p>
    <w:p>
      <w:pPr>
        <w:pStyle w:val="ListBullet"/>
      </w:pPr>
      <w:r>
        <w:t>Peak RAM (</w:t>
      </w:r>
      <w:r>
        <w:rPr>
          <w:rFonts w:ascii="Consolas" w:hAnsi="Consolas"/>
          <w:sz w:val="18"/>
        </w:rPr>
        <w:t>tegrastats</w:t>
      </w:r>
      <w:r>
        <w:t xml:space="preserve"> sampled every second throughout — log to file, take the max)</w:t>
      </w:r>
    </w:p>
    <w:p>
      <w:pPr>
        <w:pStyle w:val="ListBullet"/>
      </w:pPr>
      <w:r>
        <w:t>ONNX export time</w:t>
      </w:r>
    </w:p>
    <w:p>
      <w:pPr>
        <w:pStyle w:val="ListBullet"/>
      </w:pPr>
      <w:r>
        <w:rPr>
          <w:rFonts w:ascii="Consolas" w:hAnsi="Consolas"/>
          <w:sz w:val="18"/>
        </w:rPr>
        <w:t>trtexec</w:t>
      </w:r>
      <w:r>
        <w:t xml:space="preserve"> FP16 engine build time</w:t>
      </w:r>
    </w:p>
    <w:p>
      <w:pPr>
        <w:pStyle w:val="ListBullet"/>
      </w:pPr>
      <w:r>
        <w:t>Fixed-test-set evaluation time</w:t>
      </w:r>
    </w:p>
    <w:p>
      <w:pPr>
        <w:pStyle w:val="ListBullet"/>
      </w:pPr>
      <w:r>
        <w:rPr>
          <w:b/>
        </w:rPr>
        <w:t>Thermal:</w:t>
      </w:r>
      <w:r>
        <w:t xml:space="preserve"> confirm no throttling occurred (</w:t>
      </w:r>
      <w:r>
        <w:rPr>
          <w:rFonts w:ascii="Consolas" w:hAnsi="Consolas"/>
          <w:sz w:val="18"/>
        </w:rPr>
        <w:t>tegrastats</w:t>
      </w:r>
      <w:r>
        <w:t xml:space="preserve"> reports temperatures); if the SoC throttles, say so — it is a legitimate deployment finding</w:t>
      </w:r>
    </w:p>
    <w:p>
      <w:pPr>
        <w:pStyle w:val="Heading2"/>
      </w:pPr>
      <w:r>
        <w:rPr>
          <w:color w:val="1F3864"/>
        </w:rPr>
        <w:t>Step 3 — The FP16 gate measurement</w:t>
      </w:r>
    </w:p>
    <w:p>
      <w:r>
        <w:t>This is the measurement that justifies the paper's gating design, so run it deliberately:</w:t>
      </w:r>
    </w:p>
    <w:p>
      <w:pPr>
        <w:pStyle w:val="ListNumber"/>
      </w:pPr>
      <w:r>
        <w:t xml:space="preserve">Evaluate the retrained </w:t>
      </w:r>
      <w:r>
        <w:rPr>
          <w:b/>
        </w:rPr>
        <w:t>PyTorch</w:t>
      </w:r>
      <w:r>
        <w:t xml:space="preserve"> candidate on the fixed test set → accuracy A_pt</w:t>
      </w:r>
    </w:p>
    <w:p>
      <w:pPr>
        <w:pStyle w:val="ListNumber"/>
      </w:pPr>
      <w:r>
        <w:t>Compile to a TensorRT FP16 engine</w:t>
      </w:r>
    </w:p>
    <w:p>
      <w:pPr>
        <w:pStyle w:val="ListNumber"/>
      </w:pPr>
      <w:r>
        <w:t xml:space="preserve">Evaluate the </w:t>
      </w:r>
      <w:r>
        <w:rPr>
          <w:b/>
        </w:rPr>
        <w:t>compiled engine</w:t>
      </w:r>
      <w:r>
        <w:t xml:space="preserve"> on the same fixed test set → accuracy A_trt</w:t>
      </w:r>
    </w:p>
    <w:p>
      <w:pPr>
        <w:pStyle w:val="ListNumber"/>
      </w:pPr>
      <w:r>
        <w:t xml:space="preserve">Report both and </w:t>
      </w:r>
      <w:r>
        <w:rPr>
          <w:b/>
        </w:rPr>
        <w:t>Δ = A_trt − A_pt</w:t>
      </w:r>
    </w:p>
    <w:p>
      <w:r>
        <w:rPr>
          <w:b/>
        </w:rPr>
        <w:t>Report Δ whatever it is.</w:t>
      </w:r>
      <w:r>
        <w:t xml:space="preserve"> If it is non-zero, that is direct evidence for gating on the engine. If it is essentially zero, report that honestly and reframe the argument as </w:t>
      </w:r>
      <w:r>
        <w:rPr>
          <w:i/>
        </w:rPr>
        <w:t>"the gate must verify this rather than assume it"</w:t>
      </w:r>
      <w:r>
        <w:t xml:space="preserve"> — which remains a valid design principle. Do not quietly drop the measurement if it comes out small; a reviewer asking "did you check?" and getting "yes, and it was 0.1%" is a much better position than having no answer.</w:t>
      </w:r>
    </w:p>
    <w:p>
      <w:r>
        <w:t>If you can, repeat over 3 retraining runs and report mean ± std — a single Δ could be run-to-run noise.</w:t>
      </w:r>
    </w:p>
    <w:p>
      <w:pPr>
        <w:pStyle w:val="Heading2"/>
      </w:pPr>
      <w:r>
        <w:rPr>
          <w:color w:val="1F3864"/>
        </w:rPr>
        <w:t>Step 4 — Inference latency</w:t>
      </w:r>
    </w:p>
    <w:p>
      <w:r>
        <w:t>For one complete 8-image capture set, measure per stage (warm models, discard the first run):</w:t>
      </w:r>
    </w:p>
    <w:p>
      <w:r>
        <w:t xml:space="preserve">detection per image · segmentation per leaf · classification per batch of crops · decision tree · fusion · </w:t>
      </w:r>
      <w:r>
        <w:rPr>
          <w:b/>
        </w:rPr>
        <w:t>end-to-end per set</w:t>
      </w:r>
    </w:p>
    <w:p>
      <w:r>
        <w:t xml:space="preserve">Report leaves detected per image so the per-leaf figures are interpretable. Then compute device utilization: with 2 sets/day at the measured end-to-end time, the device is busy roughly </w:t>
      </w:r>
      <w:r>
        <w:rPr>
          <w:i/>
        </w:rPr>
        <w:t>(2 × t_set) / 86400</w:t>
      </w:r>
      <w:r>
        <w:t xml:space="preserve"> of the day. That percentage is the argument that retraining contends with nothing — make it explicit.</w:t>
      </w:r>
    </w:p>
    <w:p>
      <w:r>
        <w:t xml:space="preserve">Optionally add idle and peak power draw (W) from </w:t>
      </w:r>
      <w:r>
        <w:rPr>
          <w:rFonts w:ascii="Consolas" w:hAnsi="Consolas"/>
          <w:sz w:val="18"/>
        </w:rPr>
        <w:t>tegrastats</w:t>
      </w:r>
      <w:r>
        <w:t>; useful if solar-powered deployment is ever in scope.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4 — E4: TURMERIC CL DEPLOYMENT VALIDATION</w:t>
      </w:r>
    </w:p>
    <w:p>
      <w:r>
        <w:rPr>
          <w:i/>
        </w:rPr>
        <w:t>Fills Table XI (P13). Full protocol from data selection through layer-level training.</w:t>
      </w:r>
    </w:p>
    <w:p>
      <w:pPr>
        <w:pStyle w:val="Heading2"/>
      </w:pPr>
      <w:r>
        <w:rPr>
          <w:color w:val="1F3864"/>
        </w:rPr>
        <w:t>Step 1 — Dataset assembly</w:t>
      </w:r>
    </w:p>
    <w:p>
      <w:r>
        <w:t>Two Mendeley sources (from your slides):</w:t>
      </w:r>
    </w:p>
    <w:p>
      <w:pPr>
        <w:pStyle w:val="ListBullet"/>
      </w:pPr>
      <w:r>
        <w:rPr>
          <w:rFonts w:ascii="Consolas" w:hAnsi="Consolas"/>
          <w:sz w:val="18"/>
        </w:rPr>
        <w:t>10.17632/jtttfbx342.1</w:t>
      </w:r>
      <w:r>
        <w:t xml:space="preserve"> — Image Dataset for Turmeric Plant Leaf Disease Detection</w:t>
      </w:r>
    </w:p>
    <w:p>
      <w:pPr>
        <w:pStyle w:val="ListBullet"/>
      </w:pPr>
      <w:r>
        <w:rPr>
          <w:rFonts w:ascii="Consolas" w:hAnsi="Consolas"/>
          <w:sz w:val="18"/>
        </w:rPr>
        <w:t>10.17632/g46dvrcvwn.1</w:t>
      </w:r>
      <w:r>
        <w:t xml:space="preserve"> — Turmeric Plant Disease Dataset</w:t>
      </w:r>
    </w:p>
    <w:p>
      <w:r>
        <w:t xml:space="preserve">Five classes: </w:t>
      </w:r>
      <w:r>
        <w:rPr>
          <w:b/>
        </w:rPr>
        <w:t>healthy · leaf blotch · leaf spot · dry leaf · aphid disease.</w:t>
      </w:r>
    </w:p>
    <w:p>
      <w:r>
        <w:rPr>
          <w:b/>
        </w:rPr>
        <w:t>Pool both sources</w:t>
      </w:r>
      <w:r>
        <w:t xml:space="preserve"> and deduplicate — you need every image you can get (see Step 2). Check for near-duplicates across the two datasets with perceptual hashing before pooling; overlap between public datasets is common and would leak across splits.</w:t>
      </w:r>
    </w:p>
    <w:p>
      <w:r>
        <w:t>Add any greenhouse-collected turmeric images you have. Record the per-class counts you actually end up with — this drives everything downstream.</w:t>
      </w:r>
    </w:p>
    <w:p>
      <w:pPr>
        <w:pStyle w:val="Heading2"/>
      </w:pPr>
      <w:r>
        <w:rPr>
          <w:color w:val="1F3864"/>
        </w:rPr>
        <w:t>Step 2 —  The volume problem, and how to handle it</w:t>
      </w:r>
    </w:p>
    <w:p>
      <w:r>
        <w:t>At ~200 images/class, applying the tomato split policy directly gives: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Split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Fraction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Images/class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(fixed, held out forever)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 training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37.5%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Cycle 1 stream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18.75%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~37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Cycle 2 stream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18.75%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~37</w:t>
            </w:r>
          </w:p>
        </w:tc>
      </w:tr>
    </w:tbl>
    <w:p/>
    <w:p>
      <w:r>
        <w:t>Two consequences you must handle explicitly:</w:t>
      </w:r>
    </w:p>
    <w:p>
      <w:r>
        <w:rPr>
          <w:b/>
        </w:rPr>
        <w:t>(a) The replay buffer floor breaks.</w:t>
      </w:r>
      <w:r>
        <w:t xml:space="preserve"> The tomato protocol uses "15% per class, minimum 100 images". Here 100 &gt; the 75 available initial-training images — the rule is unsatisfiable. </w:t>
      </w:r>
      <w:r>
        <w:rPr>
          <w:b/>
        </w:rPr>
        <w:t>Redefine for turmeric as `min(40, 50% of initial_train)`</w:t>
      </w:r>
      <w:r>
        <w:t>, state the change and the reason in the paper. Silently applying a different buffer rule to the two datasets is exactly the kind of inconsistency reviewers find.</w:t>
      </w:r>
    </w:p>
    <w:p>
      <w:r>
        <w:rPr>
          <w:b/>
        </w:rPr>
        <w:t>(b) A 30-image test set gives coarse resolution.</w:t>
      </w:r>
      <w:r>
        <w:t xml:space="preserve"> One image = 3.3 percentage points, so differences under ~3 points between methods are not resolvable. Options, best first:</w:t>
      </w:r>
    </w:p>
    <w:p>
      <w:pPr>
        <w:pStyle w:val="ListNumber"/>
      </w:pPr>
      <w:r>
        <w:rPr>
          <w:b/>
        </w:rPr>
        <w:t>Pool both datasets</w:t>
      </w:r>
      <w:r>
        <w:t xml:space="preserve"> to push toward 400/class (your original target) — then 60 test images/class, and the numbers become meaningful</w:t>
      </w:r>
    </w:p>
    <w:p>
      <w:pPr>
        <w:pStyle w:val="ListNumber"/>
      </w:pPr>
      <w:r>
        <w:t xml:space="preserve">Report </w:t>
      </w:r>
      <w:r>
        <w:rPr>
          <w:b/>
        </w:rPr>
        <w:t>mean ± std over 3–5 seeds</w:t>
      </w:r>
      <w:r>
        <w:t xml:space="preserve"> and state that differences within noise are not claimed as differences</w:t>
      </w:r>
    </w:p>
    <w:p>
      <w:pPr>
        <w:pStyle w:val="ListNumber"/>
      </w:pPr>
      <w:r>
        <w:t xml:space="preserve">Reduce to a </w:t>
      </w:r>
      <w:r>
        <w:rPr>
          <w:b/>
        </w:rPr>
        <w:t>single CL cycle</w:t>
      </w:r>
      <w:r>
        <w:t xml:space="preserve"> — larger streams, but you lose the cross-cycle trend</w:t>
      </w:r>
    </w:p>
    <w:p>
      <w:r>
        <w:t xml:space="preserve">Do (1) and (2) together if at all possible. If you cannot get past ~200/class, </w:t>
      </w:r>
      <w:r>
        <w:rPr>
          <w:b/>
        </w:rPr>
        <w:t>say so in the limitations</w:t>
      </w:r>
      <w:r>
        <w:t xml:space="preserve"> and present E4 as a feasibility check rather than a precision benchmark. That framing is defensible; overclaiming on 30 test images is not.</w:t>
      </w:r>
    </w:p>
    <w:p>
      <w:pPr>
        <w:pStyle w:val="Heading2"/>
      </w:pPr>
      <w:r>
        <w:rPr>
          <w:color w:val="1F3864"/>
        </w:rPr>
        <w:t>Step 3 — Preprocessing (must match deployment exactly)</w:t>
      </w:r>
    </w:p>
    <w:p>
      <w:r>
        <w:t>Feed the classifier what it will see in the field — not raw dataset images:</w:t>
      </w:r>
    </w:p>
    <w:p>
      <w:pPr>
        <w:pStyle w:val="ListNumber"/>
      </w:pPr>
      <w:r>
        <w:t xml:space="preserve">Run source images through </w:t>
      </w:r>
      <w:r>
        <w:rPr>
          <w:b/>
        </w:rPr>
        <w:t>YOLOv8n detection</w:t>
      </w:r>
      <w:r>
        <w:t xml:space="preserve"> → leaf crops</w:t>
      </w:r>
    </w:p>
    <w:p>
      <w:pPr>
        <w:pStyle w:val="ListNumber"/>
      </w:pPr>
      <w:r>
        <w:t xml:space="preserve">Apply the </w:t>
      </w:r>
      <w:r>
        <w:rPr>
          <w:b/>
        </w:rPr>
        <w:t>≥124×124 quality filter</w:t>
      </w:r>
    </w:p>
    <w:p>
      <w:pPr>
        <w:pStyle w:val="ListNumber"/>
      </w:pPr>
      <w:r>
        <w:t xml:space="preserve">Run </w:t>
      </w:r>
      <w:r>
        <w:rPr>
          <w:b/>
        </w:rPr>
        <w:t>YOLOv8n-seg</w:t>
      </w:r>
      <w:r>
        <w:t xml:space="preserve"> → mask, background filled black</w:t>
      </w:r>
    </w:p>
    <w:p>
      <w:pPr>
        <w:pStyle w:val="ListNumber"/>
      </w:pPr>
      <w:r>
        <w:t xml:space="preserve">Resize to </w:t>
      </w:r>
      <w:r>
        <w:rPr>
          <w:b/>
        </w:rPr>
        <w:t>200×200</w:t>
      </w:r>
      <w:r>
        <w:t xml:space="preserve">, zero-pad to </w:t>
      </w:r>
      <w:r>
        <w:rPr>
          <w:b/>
        </w:rPr>
        <w:t>224×224</w:t>
      </w:r>
    </w:p>
    <w:p>
      <w:pPr>
        <w:pStyle w:val="ListNumber"/>
      </w:pPr>
      <w:r>
        <w:t>Normalize to [0,1]</w:t>
      </w:r>
    </w:p>
    <w:p>
      <w:r>
        <w:t xml:space="preserve">If a source image is already a single isolated leaf, skip to step 3. </w:t>
      </w:r>
      <w:r>
        <w:rPr>
          <w:b/>
        </w:rPr>
        <w:t>Do not skip segmentation</w:t>
      </w:r>
      <w:r>
        <w:t xml:space="preserve"> — the tomato benchmark used segmented images, and an unsegmented turmeric set would make the two incomparable.</w:t>
      </w:r>
    </w:p>
    <w:p>
      <w:r>
        <w:rPr>
          <w:b/>
        </w:rPr>
        <w:t>Split by leaf identity if the metadata allows it</w:t>
      </w:r>
      <w:r>
        <w:t xml:space="preserve"> (as in the tomato protocol). If the datasets do not carry leaf IDs, cluster near-duplicates by perceptual hash and keep each cluster wholly within one split. State which you did.</w:t>
      </w:r>
    </w:p>
    <w:p>
      <w:r>
        <w:t xml:space="preserve">Augmentation on training splits only — horizontal/vertical flip, ±15° rotation, mild brightness/contrast jitter. </w:t>
      </w:r>
      <w:r>
        <w:rPr>
          <w:b/>
        </w:rPr>
        <w:t>No augmentation on val or test.</w:t>
      </w:r>
      <w:r>
        <w:t xml:space="preserve"> Given the small volume, augmentation matters more here than it did for tomato; consider augmenting the stream data ~2–3× to give each cycle enough gradient steps.</w:t>
      </w:r>
    </w:p>
    <w:p>
      <w:pPr>
        <w:pStyle w:val="Heading2"/>
      </w:pPr>
      <w:r>
        <w:rPr>
          <w:color w:val="1F3864"/>
        </w:rPr>
        <w:t>Step 4 — Model initialization (Case 2 recipe)</w:t>
      </w:r>
    </w:p>
    <w:p>
      <w:r>
        <w:t xml:space="preserve">The benchmark selected </w:t>
      </w:r>
      <w:r>
        <w:rPr>
          <w:b/>
        </w:rPr>
        <w:t>Case 2 (ImageNet)</w:t>
      </w:r>
      <w:r>
        <w:t>. Reproduce it for turmeric:</w:t>
      </w:r>
    </w:p>
    <w:p>
      <w:pPr>
        <w:pStyle w:val="ListBullet"/>
      </w:pPr>
      <w:r>
        <w:t xml:space="preserve">Backbone: MobileNetV3-Small, ImageNet weights (torchvision or </w:t>
      </w:r>
      <w:r>
        <w:rPr>
          <w:rFonts w:ascii="Consolas" w:hAnsi="Consolas"/>
          <w:sz w:val="18"/>
        </w:rPr>
        <w:t>timm</w:t>
      </w:r>
      <w:r>
        <w:t>)</w:t>
      </w:r>
    </w:p>
    <w:p>
      <w:pPr>
        <w:pStyle w:val="ListBullet"/>
      </w:pPr>
      <w:r>
        <w:t>Replace head with 5-class output</w:t>
      </w:r>
    </w:p>
    <w:p>
      <w:pPr>
        <w:pStyle w:val="ListBullet"/>
      </w:pPr>
      <w:r>
        <w:t>Input 224×224×3</w:t>
      </w:r>
    </w:p>
    <w:p>
      <w:r>
        <w:rPr>
          <w:i/>
        </w:rPr>
        <w:t>(Optional, valuable if time permits: also run Case 3 — pretrain the backbone on the non-turmeric PlantVillage classes, then fine-tune. The tomato benchmark found Case 3 gives the best old-class retention, and if that reproduces on turmeric it materially strengthens the transferability claim. Frame as a secondary result.)</w:t>
      </w:r>
    </w:p>
    <w:p>
      <w:pPr>
        <w:pStyle w:val="Heading2"/>
      </w:pPr>
      <w:r>
        <w:rPr>
          <w:color w:val="1F3864"/>
        </w:rPr>
        <w:t>Step 5 — Base training, layer by layer</w:t>
      </w:r>
    </w:p>
    <w:p>
      <w:r>
        <w:t>Follow Table II of the draft exactly.</w:t>
      </w:r>
    </w:p>
    <w:p>
      <w:r>
        <w:rPr>
          <w:b/>
        </w:rPr>
        <w:t>Phase i — classifier warm-up (10–15 epochs)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G1 features[0–3]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G2 features[4–8]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G3 features[9–12]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G4 head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1e-3</w:t>
            </w:r>
          </w:p>
        </w:tc>
      </w:tr>
    </w:tbl>
    <w:p/>
    <w:p>
      <w:r>
        <w:t>Train only the new 5-class head. Purpose: adapt the randomly-initialized head before any gradient reaches the backbone. Skipping this lets large early head gradients corrupt the pretrained features — the single most common transfer-learning mistake.</w:t>
      </w:r>
    </w:p>
    <w:p>
      <w:r>
        <w:rPr>
          <w:b/>
        </w:rPr>
        <w:t>Phase ii — unfreeze G3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1e-4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1e-3</w:t>
            </w:r>
          </w:p>
        </w:tc>
      </w:tr>
    </w:tbl>
    <w:p/>
    <w:p>
      <w:r>
        <w:t xml:space="preserve">G3 is where disease-discriminative features live, so this is where turmeric-specific adaptation happens. Train to convergence with early stopping on validation macro-F1 (patience 10, </w:t>
      </w:r>
      <w:r>
        <w:rPr>
          <w:b/>
        </w:rPr>
        <w:t>minimum 5 epochs before early stopping activates</w:t>
      </w:r>
      <w:r>
        <w:t xml:space="preserve"> — the small classes produce noisy validation curves and will otherwise trigger premature stops).</w:t>
      </w:r>
    </w:p>
    <w:p>
      <w:r>
        <w:t>Optimizer: AdamW, weight decay 1e-4. Batch size 32 (drop to 16 if VRAM-limited). Loss: cross-entropy with class weighting if the classes are imbalanced.</w:t>
      </w:r>
    </w:p>
    <w:p>
      <w:r>
        <w:rPr>
          <w:b/>
        </w:rPr>
        <w:t>Save this checkpoint as the Part-1 baseline</w:t>
      </w:r>
      <w:r>
        <w:t xml:space="preserve"> and evaluate it on the fixed test set. Every CL number is reported relative to it.</w:t>
      </w:r>
    </w:p>
    <w:p>
      <w:pPr>
        <w:pStyle w:val="Heading2"/>
      </w:pPr>
      <w:r>
        <w:rPr>
          <w:color w:val="1F3864"/>
        </w:rPr>
        <w:t>Step 6 — Continual learning cycles (CatA protocol)</w:t>
      </w:r>
    </w:p>
    <w:p>
      <w:r>
        <w:t>Two cycles, three methods (Replay, EWC, Naive as reference).</w:t>
      </w:r>
    </w:p>
    <w:p>
      <w:r>
        <w:rPr>
          <w:b/>
        </w:rPr>
        <w:t>Cycle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1e-4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5e-4</w:t>
            </w:r>
          </w:p>
        </w:tc>
      </w:tr>
    </w:tbl>
    <w:p/>
    <w:p>
      <w:r>
        <w:rPr>
          <w:b/>
        </w:rPr>
        <w:t>Cycle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5e-5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2e-4</w:t>
            </w:r>
          </w:p>
        </w:tc>
      </w:tr>
    </w:tbl>
    <w:p/>
    <w:p>
      <w:r>
        <w:t>Per method:</w:t>
      </w:r>
    </w:p>
    <w:p>
      <w:pPr>
        <w:pStyle w:val="ListBullet"/>
      </w:pPr>
      <w:r>
        <w:rPr>
          <w:b/>
        </w:rPr>
        <w:t>Replay:</w:t>
      </w:r>
      <w:r>
        <w:t xml:space="preserve"> buffer = </w:t>
      </w:r>
      <w:r>
        <w:rPr>
          <w:rFonts w:ascii="Consolas" w:hAnsi="Consolas"/>
          <w:sz w:val="18"/>
        </w:rPr>
        <w:t>min(40, 50% of initial_train)</w:t>
      </w:r>
      <w:r>
        <w:t xml:space="preserve"> per class, sampled from initial-training data only — </w:t>
      </w:r>
      <w:r>
        <w:rPr>
          <w:b/>
        </w:rPr>
        <w:t>never</w:t>
      </w:r>
      <w:r>
        <w:t xml:space="preserve"> from val or test. Mix 50/50 with stream data in every batch.</w:t>
      </w:r>
    </w:p>
    <w:p>
      <w:pPr>
        <w:pStyle w:val="ListBullet"/>
      </w:pPr>
      <w:r>
        <w:rPr>
          <w:b/>
        </w:rPr>
        <w:t>EWC:</w:t>
      </w:r>
      <w:r>
        <w:t xml:space="preserve"> compute the Fisher matrix over the same buffer, applying the penalty </w:t>
      </w:r>
      <w:r>
        <w:rPr>
          <w:b/>
        </w:rPr>
        <w:t>only to trainable parameters (G3, G4)</w:t>
      </w:r>
      <w:r>
        <w:t xml:space="preserve">. λ = </w:t>
      </w:r>
      <w:r>
        <w:rPr>
          <w:b/>
        </w:rPr>
        <w:t>10,000 for Cycle 1, 3,000 for Cycle 2</w:t>
      </w:r>
      <w:r>
        <w:t xml:space="preserve"> (the tuned schedule). </w:t>
      </w:r>
      <w:r>
        <w:rPr>
          <w:i/>
        </w:rPr>
        <w:t>If time permits, re-run the λ grid on turmeric — the benchmark showed λ sensitivity depends on backbone domain specificity, so the tomato-optimal values may not transfer, and confirming or refuting that is itself a reportable result.</w:t>
      </w:r>
    </w:p>
    <w:p>
      <w:pPr>
        <w:pStyle w:val="ListBullet"/>
      </w:pPr>
      <w:r>
        <w:rPr>
          <w:b/>
        </w:rPr>
        <w:t>Naive:</w:t>
      </w:r>
      <w:r>
        <w:t xml:space="preserve"> no protection, reference only.</w:t>
      </w:r>
    </w:p>
    <w:p>
      <w:r>
        <w:t xml:space="preserve">Evaluate on the </w:t>
      </w:r>
      <w:r>
        <w:rPr>
          <w:b/>
        </w:rPr>
        <w:t>fixed</w:t>
      </w:r>
      <w:r>
        <w:t xml:space="preserve"> test set after every cycle. Also track validation accuracy (old-class only) as the real-time forgetting signal.</w:t>
      </w:r>
    </w:p>
    <w:p>
      <w:pPr>
        <w:pStyle w:val="Heading2"/>
      </w:pPr>
      <w:r>
        <w:rPr>
          <w:color w:val="1F3864"/>
        </w:rPr>
        <w:t>Step 7 — Report (Table XI)</w:t>
      </w:r>
    </w:p>
    <w:p>
      <w:r>
        <w:t>Same columns as Table III so the comparison is direct: C1 Acc, C1 F1, C2 Acc, C2 F1, Avg, training time. Add rows for the Part-1 baseline and Naive.</w:t>
      </w:r>
    </w:p>
    <w:p>
      <w:r>
        <w:rPr>
          <w:b/>
        </w:rPr>
        <w:t>The three questions the table must answer:</w:t>
      </w:r>
    </w:p>
    <w:p>
      <w:pPr>
        <w:pStyle w:val="ListNumber"/>
      </w:pPr>
      <w:r>
        <w:t>Does the tomato-derived recipe transfer to turmeric at all?</w:t>
      </w:r>
    </w:p>
    <w:p>
      <w:pPr>
        <w:pStyle w:val="ListNumber"/>
      </w:pPr>
      <w:r>
        <w:rPr>
          <w:b/>
        </w:rPr>
        <w:t>Is the method ordering preserved</w:t>
      </w:r>
      <w:r>
        <w:t xml:space="preserve"> (Replay ≥ EWC &gt; Naive on retention)? This is the real transferability claim — the ordering matters more than the absolute values.</w:t>
      </w:r>
    </w:p>
    <w:p>
      <w:pPr>
        <w:pStyle w:val="ListNumber"/>
      </w:pPr>
      <w:r>
        <w:t>How much does the ~3× smaller per-class volume cost, and how did the buffer-floor change affect replay?</w:t>
      </w:r>
    </w:p>
    <w:p>
      <w:r>
        <w:t>Write the two discussion paragraphs the draft has placeholders for. Address the volume question head-on rather than waiting to be asked — it is the first thing a reviewer will probe.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 5 — CONCLUSION: WHAT THE PAPER SHOULD CLAIM</w:t>
      </w:r>
    </w:p>
    <w:p>
      <w:r>
        <w:t>You asked for a conclusion idea. Here is what the evidence supports — and, as importantly, what it does not.</w:t>
      </w:r>
    </w:p>
    <w:p>
      <w:pPr>
        <w:pStyle w:val="Heading2"/>
      </w:pPr>
      <w:r>
        <w:rPr>
          <w:color w:val="1F3864"/>
        </w:rPr>
        <w:t>5.1 The defensible headline</w:t>
      </w:r>
    </w:p>
    <w:p>
      <w:pPr>
        <w:ind w:left="504"/>
      </w:pPr>
      <w:r>
        <w:rPr>
          <w:b/>
          <w:i/>
          <w:color w:val="444444"/>
        </w:rPr>
        <w:t>Continual learning for plant disease is not a single problem with a single best method, and the right choice is determined by the incremental scenario, the initialization, and the device's memory budget — not by a leaderboard.</w:t>
      </w:r>
    </w:p>
    <w:p>
      <w:r>
        <w:t>This is stronger than "replay wins" because it is what your 25 runs actually demonstrate, and it is genuinely useful to a practitioner. Three findings support it, and each is a complete argument on its own:</w:t>
      </w:r>
    </w:p>
    <w:p>
      <w:pPr>
        <w:pStyle w:val="ListNumber"/>
      </w:pPr>
      <w:r>
        <w:rPr>
          <w:b/>
        </w:rPr>
        <w:t>Method ranking inverts across scenarios.</w:t>
      </w:r>
      <w:r>
        <w:t xml:space="preserve"> Isolation is within ~1 point of best in CatA and collapses to 6.38% in CatB. Any paper reporting one ranking is misleading its readers.</w:t>
      </w:r>
    </w:p>
    <w:p>
      <w:pPr>
        <w:pStyle w:val="ListNumber"/>
      </w:pPr>
      <w:r>
        <w:rPr>
          <w:b/>
        </w:rPr>
        <w:t>Initialization sets the ceiling, and interacts with the method.</w:t>
      </w:r>
      <w:r>
        <w:t xml:space="preserve"> Case 2 is best overall; Case 3 gives the best old-class </w:t>
      </w:r>
      <w:r>
        <w:rPr>
          <w:i/>
        </w:rPr>
        <w:t>retention</w:t>
      </w:r>
      <w:r>
        <w:t>; Case 1 is worst everywhere. λ sensitivity itself scales with backbone domain specificity (+1.14% for Case 3 vs +0.09% for Case 1). Pretraining and CL-method choice are not independent decisions.</w:t>
      </w:r>
    </w:p>
    <w:p>
      <w:pPr>
        <w:pStyle w:val="ListNumber"/>
      </w:pPr>
      <w:r>
        <w:rPr>
          <w:b/>
        </w:rPr>
        <w:t>Protection mechanisms can interfere.</w:t>
      </w:r>
      <w:r>
        <w:t xml:space="preserve"> Hybrid EWC+Replay is </w:t>
      </w:r>
      <w:r>
        <w:rPr>
          <w:i/>
        </w:rPr>
        <w:t>worse</w:t>
      </w:r>
      <w:r>
        <w:t xml:space="preserve"> than replay alone while costing 37–40% more. More protection is not better protection — the mechanisms constrain and drive the same parameters in opposition.</w:t>
      </w:r>
    </w:p>
    <w:p>
      <w:pPr>
        <w:pStyle w:val="Heading2"/>
      </w:pPr>
      <w:r>
        <w:rPr>
          <w:color w:val="1F3864"/>
        </w:rPr>
        <w:t>5.2 Lead with the negative results</w:t>
      </w:r>
    </w:p>
    <w:p>
      <w:r>
        <w:t>Your two negative findings are the most publishable material in the paper, and it is worth being deliberate about that:</w:t>
      </w:r>
    </w:p>
    <w:p>
      <w:pPr>
        <w:pStyle w:val="ListBullet"/>
      </w:pPr>
      <w:r>
        <w:rPr>
          <w:b/>
        </w:rPr>
        <w:t>Isolation's inverted failure</w:t>
      </w:r>
      <w:r>
        <w:t xml:space="preserve"> — Case 3 (6.38%) doing </w:t>
      </w:r>
      <w:r>
        <w:rPr>
          <w:i/>
        </w:rPr>
        <w:t>worse</w:t>
      </w:r>
      <w:r>
        <w:t xml:space="preserve"> than Case 2 (45.45%) despite the stronger backbone is counter-intuitive and mechanistically explicable: the better the frozen backbone, the wider the gap to a randomly-initialized branch. That is a transferable insight about architecture-based CL generally, not a quirk of plant disease.</w:t>
      </w:r>
    </w:p>
    <w:p>
      <w:pPr>
        <w:pStyle w:val="ListBullet"/>
      </w:pPr>
      <w:r>
        <w:rPr>
          <w:b/>
        </w:rPr>
        <w:t>Hybrid underperforming its components</w:t>
      </w:r>
      <w:r>
        <w:t xml:space="preserve"> — a clean, well-motivated negative result with a mechanistic explanation.</w:t>
      </w:r>
    </w:p>
    <w:p>
      <w:r>
        <w:t>Positive results ("replay reached 98%") are expected and easily matched. Negative results with mechanisms are what gets cited.</w:t>
      </w:r>
    </w:p>
    <w:p>
      <w:pPr>
        <w:pStyle w:val="Heading2"/>
      </w:pPr>
      <w:r>
        <w:rPr>
          <w:color w:val="1F3864"/>
        </w:rPr>
        <w:t>5.3 The systems claim</w:t>
      </w:r>
    </w:p>
    <w:p>
      <w:pPr>
        <w:ind w:left="504"/>
      </w:pPr>
      <w:r>
        <w:rPr>
          <w:b/>
          <w:i/>
          <w:color w:val="444444"/>
        </w:rPr>
        <w:t>The complete adapt-and-verify loop fits on a single edge device with no cloud dependency</w:t>
      </w:r>
      <w:r>
        <w:rPr>
          <w:i/>
          <w:color w:val="444444"/>
        </w:rPr>
        <w:t xml:space="preserve"> — 5.82 MB models, a retraining cycle inside the device's memory envelope, and a deployment gate that evaluates the compiled engine rather than the training artifact.</w:t>
      </w:r>
    </w:p>
    <w:p>
      <w:r>
        <w:t>The gating-on-the-compiled-engine detail is small but distinctive: it is the kind of thing that only surfaces when a system is actually deployed rather than simulated, and it signals to reviewers that this is real work.</w:t>
      </w:r>
    </w:p>
    <w:p>
      <w:pPr>
        <w:pStyle w:val="Heading2"/>
      </w:pPr>
      <w:r>
        <w:rPr>
          <w:color w:val="1F3864"/>
        </w:rPr>
        <w:t>5.4 What NOT to claim</w:t>
      </w:r>
    </w:p>
    <w:p>
      <w:pPr>
        <w:pStyle w:val="ListBullet"/>
      </w:pPr>
      <w:r>
        <w:t>[X] Do not claim field validation of the environmental model if E1 uses simulated data. Say "simulated" plainly.</w:t>
      </w:r>
    </w:p>
    <w:p>
      <w:pPr>
        <w:pStyle w:val="ListBullet"/>
      </w:pPr>
      <w:r>
        <w:t>[X] Do not claim the fusion layer improves diagnostic accuracy unless E2 shows it. Claim interpretability, graceful degradation, and — if measurable — early-warning lead time.</w:t>
      </w:r>
    </w:p>
    <w:p>
      <w:pPr>
        <w:pStyle w:val="ListBullet"/>
      </w:pPr>
      <w:r>
        <w:t>[X] Do not claim long-term deployment stability from 2 cycles. Two cycles reveal forgetting dynamics; they do not characterize a year of operation.</w:t>
      </w:r>
    </w:p>
    <w:p>
      <w:pPr>
        <w:pStyle w:val="ListBullet"/>
      </w:pPr>
      <w:r>
        <w:t>[X] Do not present naive fine-tuning as a competitor it beats. It uses the full data history and is explicitly not a valid CL method under the storage constraint.</w:t>
      </w:r>
    </w:p>
    <w:p>
      <w:pPr>
        <w:pStyle w:val="Heading2"/>
      </w:pPr>
      <w:r>
        <w:rPr>
          <w:color w:val="1F3864"/>
        </w:rPr>
        <w:t>5.5 Closing paragraph — the arc to aim for</w:t>
      </w:r>
    </w:p>
    <w:p>
      <w:r>
        <w:t xml:space="preserve">Something like: </w:t>
      </w:r>
      <w:r>
        <w:rPr>
          <w:i/>
        </w:rPr>
        <w:t>this work moves plant disease monitoring from a model that is trained once and degrades, to a system that observes, doubts itself, relabels, retrains, and verifies before it trusts a new version of itself — entirely on a device in a greenhouse with no internet.</w:t>
      </w:r>
      <w:r>
        <w:t xml:space="preserve"> Then the future work (LLM teacher closing the relabel loop, agentic orchestration) reads as the natural next step in that arc rather than a list of leftovers.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3864"/>
        </w:rPr>
        <w:t>CHECKLIST</w:t>
      </w:r>
    </w:p>
    <w:p>
      <w:r>
        <w:rPr>
          <w:b/>
        </w:rPr>
        <w:t>Decide first</w:t>
      </w:r>
    </w:p>
    <w:p>
      <w:pPr>
        <w:pStyle w:val="ListBullet"/>
      </w:pPr>
      <w:r>
        <w:rPr>
          <w:b/>
        </w:rPr>
        <w:t xml:space="preserve">[ ] </w:t>
      </w:r>
      <w:r>
        <w:t xml:space="preserve">Choose Tier A / B / C for the decision tree (recommend </w:t>
      </w:r>
      <w:r>
        <w:rPr>
          <w:b/>
        </w:rPr>
        <w:t>B now</w:t>
      </w:r>
      <w:r>
        <w:t>, A later if data matures)</w:t>
      </w:r>
    </w:p>
    <w:p>
      <w:pPr>
        <w:pStyle w:val="ListBullet"/>
      </w:pPr>
      <w:r>
        <w:rPr>
          <w:b/>
        </w:rPr>
        <w:t xml:space="preserve">[ ] </w:t>
      </w:r>
      <w:r>
        <w:t xml:space="preserve">Confirm 3 risk classes → </w:t>
      </w:r>
      <w:r>
        <w:rPr>
          <w:b/>
        </w:rPr>
        <w:t>update draft Table VIII from 4 rows to 3</w:t>
      </w:r>
    </w:p>
    <w:p>
      <w:pPr>
        <w:pStyle w:val="ListBullet"/>
      </w:pPr>
      <w:r>
        <w:rPr>
          <w:b/>
        </w:rPr>
        <w:t xml:space="preserve">[ ] </w:t>
      </w:r>
      <w:r>
        <w:t>Confirm how many turmeric images/class you actually have after pooling both Mendeley sources</w:t>
      </w:r>
    </w:p>
    <w:p>
      <w:r>
        <w:rPr>
          <w:b/>
        </w:rPr>
        <w:t>E1 — decision tree</w:t>
      </w:r>
    </w:p>
    <w:p>
      <w:pPr>
        <w:pStyle w:val="ListBullet"/>
      </w:pPr>
      <w:r>
        <w:rPr>
          <w:b/>
        </w:rPr>
        <w:t xml:space="preserve">[ ] </w:t>
      </w:r>
      <w:r>
        <w:t>Generate ≥180 days of realistic traces (diurnal + seasonal + AR(1) + noise + dropouts)</w:t>
      </w:r>
    </w:p>
    <w:p>
      <w:pPr>
        <w:pStyle w:val="ListBullet"/>
      </w:pPr>
      <w:r>
        <w:rPr>
          <w:b/>
        </w:rPr>
        <w:t xml:space="preserve">[ ] </w:t>
      </w:r>
      <w:r>
        <w:t>Label from published relations; add ~5% label noise</w:t>
      </w:r>
    </w:p>
    <w:p>
      <w:pPr>
        <w:pStyle w:val="ListBullet"/>
      </w:pPr>
      <w:r>
        <w:rPr>
          <w:b/>
        </w:rPr>
        <w:t xml:space="preserve">[ ] </w:t>
      </w:r>
      <w:r>
        <w:t>Split by time block, monsoon regime in the test block</w:t>
      </w:r>
    </w:p>
    <w:p>
      <w:pPr>
        <w:pStyle w:val="ListBullet"/>
      </w:pPr>
      <w:r>
        <w:rPr>
          <w:b/>
        </w:rPr>
        <w:t xml:space="preserve">[ ] </w:t>
      </w:r>
      <w:r>
        <w:t>Depth ≤ 5; select on validation macro-F1</w:t>
      </w:r>
    </w:p>
    <w:p>
      <w:pPr>
        <w:pStyle w:val="ListBullet"/>
      </w:pPr>
      <w:r>
        <w:rPr>
          <w:b/>
        </w:rPr>
        <w:t xml:space="preserve">[ ] </w:t>
      </w:r>
      <w:r>
        <w:t>Report + baselines (majority, random forest) + noise/dropout robustness</w:t>
      </w:r>
    </w:p>
    <w:p>
      <w:pPr>
        <w:pStyle w:val="ListBullet"/>
      </w:pPr>
      <w:r>
        <w:rPr>
          <w:b/>
        </w:rPr>
        <w:t xml:space="preserve">[ ] </w:t>
      </w:r>
      <w:r>
        <w:t>Export one worked example for Fig. 5(c)</w:t>
      </w:r>
    </w:p>
    <w:p>
      <w:r>
        <w:rPr>
          <w:b/>
        </w:rPr>
        <w:t>E2 — fusion</w:t>
      </w:r>
    </w:p>
    <w:p>
      <w:pPr>
        <w:pStyle w:val="ListBullet"/>
      </w:pPr>
      <w:r>
        <w:rPr>
          <w:b/>
        </w:rPr>
        <w:t xml:space="preserve">[ ] </w:t>
      </w:r>
      <w:r>
        <w:t>Write and freeze the rule table Φ before evaluating</w:t>
      </w:r>
    </w:p>
    <w:p>
      <w:pPr>
        <w:pStyle w:val="ListBullet"/>
      </w:pPr>
      <w:r>
        <w:rPr>
          <w:b/>
        </w:rPr>
        <w:t xml:space="preserve">[ ] </w:t>
      </w:r>
      <w:r>
        <w:t>Build 30–50 episodes including adversarial and sensor-failure cases</w:t>
      </w:r>
    </w:p>
    <w:p>
      <w:pPr>
        <w:pStyle w:val="ListBullet"/>
      </w:pPr>
      <w:r>
        <w:rPr>
          <w:b/>
        </w:rPr>
        <w:t xml:space="preserve">[ ] </w:t>
      </w:r>
      <w:r>
        <w:t>Report accuracy, macro-F1, false-alarm rate, lead time, degradation row</w:t>
      </w:r>
    </w:p>
    <w:p>
      <w:r>
        <w:rPr>
          <w:b/>
        </w:rPr>
        <w:t>E3 — on-device</w:t>
      </w:r>
    </w:p>
    <w:p>
      <w:pPr>
        <w:pStyle w:val="ListBullet"/>
      </w:pPr>
      <w:r>
        <w:rPr>
          <w:b/>
        </w:rPr>
        <w:t xml:space="preserve">[ ] </w:t>
      </w:r>
      <w:r>
        <w:t>Record JetPack/TensorRT versions and power mode</w:t>
      </w:r>
    </w:p>
    <w:p>
      <w:pPr>
        <w:pStyle w:val="ListBullet"/>
      </w:pPr>
      <w:r>
        <w:rPr>
          <w:b/>
        </w:rPr>
        <w:t xml:space="preserve">[ ] </w:t>
      </w:r>
      <w:r>
        <w:t>Full cycle timing + peak RAM via tegrastats; check for thermal throttling</w:t>
      </w:r>
    </w:p>
    <w:p>
      <w:pPr>
        <w:pStyle w:val="ListBullet"/>
      </w:pPr>
      <w:r>
        <w:rPr>
          <w:b/>
        </w:rPr>
        <w:t xml:space="preserve">[ ] </w:t>
      </w:r>
      <w:r>
        <w:rPr>
          <w:b/>
        </w:rPr>
        <w:t>Measure Δ = A_trt − A_pt and report it whatever it is</w:t>
      </w:r>
      <w:r>
        <w:t xml:space="preserve"> (ideally over 3 runs)</w:t>
      </w:r>
    </w:p>
    <w:p>
      <w:pPr>
        <w:pStyle w:val="ListBullet"/>
      </w:pPr>
      <w:r>
        <w:rPr>
          <w:b/>
        </w:rPr>
        <w:t xml:space="preserve">[ ] </w:t>
      </w:r>
      <w:r>
        <w:t>Per-stage and end-to-end latency; compute device utilization %</w:t>
      </w:r>
    </w:p>
    <w:p>
      <w:r>
        <w:rPr>
          <w:b/>
        </w:rPr>
        <w:t>E4 — turmeric</w:t>
      </w:r>
    </w:p>
    <w:p>
      <w:pPr>
        <w:pStyle w:val="ListBullet"/>
      </w:pPr>
      <w:r>
        <w:rPr>
          <w:b/>
        </w:rPr>
        <w:t xml:space="preserve">[ ] </w:t>
      </w:r>
      <w:r>
        <w:t>Pool + deduplicate both Mendeley datasets</w:t>
      </w:r>
    </w:p>
    <w:p>
      <w:pPr>
        <w:pStyle w:val="ListBullet"/>
      </w:pPr>
      <w:r>
        <w:rPr>
          <w:b/>
        </w:rPr>
        <w:t xml:space="preserve">[ ] </w:t>
      </w:r>
      <w:r>
        <w:t xml:space="preserve">Redefine replay buffer floor to </w:t>
      </w:r>
      <w:r>
        <w:rPr>
          <w:rFonts w:ascii="Consolas" w:hAnsi="Consolas"/>
          <w:sz w:val="18"/>
        </w:rPr>
        <w:t>min(40, 50% of initial_train)</w:t>
      </w:r>
      <w:r>
        <w:t xml:space="preserve"> and state it</w:t>
      </w:r>
    </w:p>
    <w:p>
      <w:pPr>
        <w:pStyle w:val="ListBullet"/>
      </w:pPr>
      <w:r>
        <w:rPr>
          <w:b/>
        </w:rPr>
        <w:t xml:space="preserve">[ ] </w:t>
      </w:r>
      <w:r>
        <w:t>Preprocess through the real pipeline (detect → filter → segment → 224×224)</w:t>
      </w:r>
    </w:p>
    <w:p>
      <w:pPr>
        <w:pStyle w:val="ListBullet"/>
      </w:pPr>
      <w:r>
        <w:rPr>
          <w:b/>
        </w:rPr>
        <w:t xml:space="preserve">[ ] </w:t>
      </w:r>
      <w:r>
        <w:t>Phase i warm-up, then Phase ii G3 unfreeze; save Part-1 baseline</w:t>
      </w:r>
    </w:p>
    <w:p>
      <w:pPr>
        <w:pStyle w:val="ListBullet"/>
      </w:pPr>
      <w:r>
        <w:rPr>
          <w:b/>
        </w:rPr>
        <w:t xml:space="preserve">[ ] </w:t>
      </w:r>
      <w:r>
        <w:t>Two CL cycles × {Replay, EWC, Naive}; 3–5 seeds, report mean ± std</w:t>
      </w:r>
    </w:p>
    <w:p>
      <w:pPr>
        <w:pStyle w:val="ListBullet"/>
      </w:pPr>
      <w:r>
        <w:rPr>
          <w:b/>
        </w:rPr>
        <w:t xml:space="preserve">[ ] </w:t>
      </w:r>
      <w:r>
        <w:t>Answer the three questions in Step 7 explicitly in the discussion</w:t>
      </w:r>
    </w:p>
    <w:p>
      <w:r>
        <w:rPr>
          <w:b/>
        </w:rPr>
        <w:t>Paper-wide</w:t>
      </w:r>
    </w:p>
    <w:p>
      <w:pPr>
        <w:pStyle w:val="ListBullet"/>
      </w:pPr>
      <w:r>
        <w:rPr>
          <w:b/>
        </w:rPr>
        <w:t xml:space="preserve">[ ] </w:t>
      </w:r>
      <w:r>
        <w:t>Add the "environmental data is simulated" disclosure to Section VI</w:t>
      </w:r>
    </w:p>
    <w:p>
      <w:pPr>
        <w:pStyle w:val="ListBullet"/>
      </w:pPr>
      <w:r>
        <w:rPr>
          <w:b/>
        </w:rPr>
        <w:t xml:space="preserve">[ ] </w:t>
      </w:r>
      <w:r>
        <w:t>Add CO₂-as-ventilation-proxy justification to Section V-A</w:t>
      </w:r>
    </w:p>
    <w:p>
      <w:pPr>
        <w:pStyle w:val="ListBullet"/>
      </w:pPr>
      <w:r>
        <w:rPr>
          <w:b/>
        </w:rPr>
        <w:t xml:space="preserve">[ ] </w:t>
      </w:r>
      <w:r>
        <w:t>Add the time-block splitting rationale to Section 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