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Roydon is currently going steady at Strategy, but still often handy for freelance work. You can scroll your life away on his instagram, decipher his thoughts on twitter or why not peak what he's been reading?</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+64 27 246 9404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48"/>
          <w:szCs w:val="48"/>
          <w:u w:val="single"/>
        </w:rPr>
      </w:pPr>
      <w:hyperlink r:id="rId6">
        <w:r w:rsidDel="00000000" w:rsidR="00000000" w:rsidRPr="00000000">
          <w:rPr>
            <w:b w:val="1"/>
            <w:i w:val="0"/>
            <w:color w:val="0000ee"/>
            <w:sz w:val="48"/>
            <w:szCs w:val="48"/>
            <w:u w:val="single"/>
            <w:rtl w:val="0"/>
          </w:rPr>
          <w:t xml:space="preserve">roydon@misseldine.co.nz</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ydon@misseldine.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