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868455c416d1a86abc23a74ef848c2f897e406b"/>
    <w:p>
      <w:pPr>
        <w:pStyle w:val="Heading1"/>
      </w:pPr>
      <w:r>
        <w:t xml:space="preserve">Phase III-1 – Version 4.00-52 Execution Plan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</w:t>
      </w:r>
      <w:r>
        <w:t xml:space="preserve"> </w:t>
      </w:r>
      <w:r>
        <w:rPr>
          <w:b/>
          <w:bCs/>
        </w:rPr>
        <w:t xml:space="preserve">exact, unambiguous changes required for v4.00-52</w:t>
      </w:r>
      <w:r>
        <w:t xml:space="preserve"> </w:t>
      </w:r>
      <w:r>
        <w:t xml:space="preserve">to resolve remaining inconsistencies in</w:t>
      </w:r>
      <w:r>
        <w:t xml:space="preserve"> </w:t>
      </w:r>
      <w:r>
        <w:rPr>
          <w:b/>
          <w:bCs/>
        </w:rPr>
        <w:t xml:space="preserve">Statement Summary deposits</w:t>
      </w:r>
      <w:r>
        <w:t xml:space="preserve">,</w:t>
      </w:r>
      <w:r>
        <w:t xml:space="preserve"> </w:t>
      </w:r>
      <w:r>
        <w:rPr>
          <w:b/>
          <w:bCs/>
        </w:rPr>
        <w:t xml:space="preserve">Reconciliation</w:t>
      </w:r>
      <w:r>
        <w:t xml:space="preserve">, and</w:t>
      </w:r>
      <w:r>
        <w:t xml:space="preserve"> </w:t>
      </w:r>
      <w:r>
        <w:rPr>
          <w:b/>
          <w:bCs/>
        </w:rPr>
        <w:t xml:space="preserve">bank-label alignment</w:t>
      </w:r>
      <w:r>
        <w:t xml:space="preserve">, based strictly on the outcomes and failures observed up to v4.00-51.</w:t>
      </w:r>
    </w:p>
    <w:p>
      <w:pPr>
        <w:pStyle w:val="BodyText"/>
      </w:pPr>
      <w:r>
        <w:t xml:space="preserve">This document is intended to be handed off to another agent (ChatGPT instance, Antigravity, or similar) for execution</w:t>
      </w:r>
      <w:r>
        <w:t xml:space="preserve"> </w:t>
      </w:r>
      <w:r>
        <w:rPr>
          <w:b/>
          <w:bCs/>
        </w:rPr>
        <w:t xml:space="preserve">without reinterpretation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urrent-state-v4.00-51-verified"/>
    <w:p>
      <w:pPr>
        <w:pStyle w:val="Heading2"/>
      </w:pPr>
      <w:r>
        <w:t xml:space="preserve">Current State (v4.00-51 – Verified)</w:t>
      </w:r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b/>
          <w:bCs/>
        </w:rPr>
        <w:t xml:space="preserve">confirmed facts</w:t>
      </w:r>
      <w:r>
        <w:t xml:space="preserve">, not hypotheses: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Statement table</w:t>
      </w:r>
      <w:r>
        <w:t xml:space="preserve"> </w:t>
      </w:r>
      <w:r>
        <w:t xml:space="preserve">(the detailed ledger-style table) correctly shows fiat deposits:</w:t>
      </w:r>
    </w:p>
    <w:p>
      <w:pPr>
        <w:pStyle w:val="Compact"/>
        <w:numPr>
          <w:ilvl w:val="1"/>
          <w:numId w:val="1002"/>
        </w:numPr>
      </w:pPr>
      <w:r>
        <w:t xml:space="preserve">e.g. </w:t>
      </w:r>
      <w:r>
        <w:rPr>
          <w:rStyle w:val="VerbatimChar"/>
        </w:rPr>
        <w:t xml:space="preserve">deposit Revolut Ltd (EUR)</w:t>
      </w:r>
      <w:r>
        <w:t xml:space="preserve"> </w:t>
      </w:r>
      <w:r>
        <w:t xml:space="preserve">with EUR credit values.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Trades / Withdrawals / Deposits (TWD) report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Fiat withdrawals show</w:t>
      </w:r>
      <w:r>
        <w:t xml:space="preserve"> </w:t>
      </w:r>
      <w:r>
        <w:rPr>
          <w:rStyle w:val="VerbatimChar"/>
        </w:rPr>
        <w:t xml:space="preserve">Revolut Ltd (GBP)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Revolut Ltd (EUR)</w:t>
      </w:r>
      <w:r>
        <w:t xml:space="preserve"> </w:t>
      </w:r>
      <w:r>
        <w:t xml:space="preserve">correctly.</w:t>
      </w:r>
    </w:p>
    <w:p>
      <w:pPr>
        <w:pStyle w:val="Compact"/>
        <w:numPr>
          <w:ilvl w:val="1"/>
          <w:numId w:val="1003"/>
        </w:numPr>
      </w:pPr>
      <w:r>
        <w:t xml:space="preserve">Fiat deposits show recipients correctly.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Statement Summary – Withdrawals to Bank Accounts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Correctly split into: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Revolut Ltd (EUR)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Revolut Ltd (GBP)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Statement Summary – Deposits from Bank Accounts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Incorrect</w:t>
      </w:r>
      <w:r>
        <w:t xml:space="preserve">: shows</w:t>
      </w:r>
      <w:r>
        <w:t xml:space="preserve"> </w:t>
      </w:r>
      <w:r>
        <w:rPr>
          <w:i/>
          <w:iCs/>
        </w:rPr>
        <w:t xml:space="preserve">“No deposits found for this period”</w:t>
      </w:r>
    </w:p>
    <w:p>
      <w:pPr>
        <w:pStyle w:val="Compact"/>
        <w:numPr>
          <w:ilvl w:val="1"/>
          <w:numId w:val="1006"/>
        </w:numPr>
      </w:pPr>
      <w:r>
        <w:t xml:space="preserve">Even though deposits clearly exist in the Statement table.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Reconciliation Difference table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Incorrect</w:t>
      </w:r>
      <w:r>
        <w:t xml:space="preserve"> </w:t>
      </w:r>
      <w:r>
        <w:t xml:space="preserve">because it consumes the same broken deposit aggregation.</w:t>
      </w:r>
    </w:p>
    <w:p>
      <w:pPr>
        <w:pStyle w:val="Compact"/>
        <w:numPr>
          <w:ilvl w:val="1"/>
          <w:numId w:val="1007"/>
        </w:numPr>
      </w:pPr>
      <w:r>
        <w:t xml:space="preserve">Shows deposits from bank accounts as</w:t>
      </w:r>
      <w:r>
        <w:t xml:space="preserve"> </w:t>
      </w:r>
      <w:r>
        <w:rPr>
          <w:rStyle w:val="VerbatimChar"/>
        </w:rPr>
        <w:t xml:space="preserve">0.00</w:t>
      </w:r>
      <w:r>
        <w:t xml:space="preserve">, producing a large artificial reconciliation error.</w:t>
      </w:r>
    </w:p>
    <w:p>
      <w:pPr>
        <w:pStyle w:val="FirstParagraph"/>
      </w:pPr>
      <w:r>
        <w:t xml:space="preserve">Conclusion:</w:t>
      </w:r>
      <w:r>
        <w:t xml:space="preserve"> </w:t>
      </w:r>
      <w:r>
        <w:rPr>
          <w:b/>
          <w:bCs/>
        </w:rPr>
        <w:t xml:space="preserve">Deposits exist but are ignored by summary + reconciliation logic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root-cause-authoritative"/>
    <w:p>
      <w:pPr>
        <w:pStyle w:val="Heading2"/>
      </w:pPr>
      <w:r>
        <w:t xml:space="preserve">Root Cause (Authoritative)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Statement Summary deposits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Reconciliation deposits-from-bank-accounts</w:t>
      </w:r>
      <w:r>
        <w:t xml:space="preserve"> </w:t>
      </w:r>
      <w:r>
        <w:t xml:space="preserve">are still aggregating from a</w:t>
      </w:r>
      <w:r>
        <w:t xml:space="preserve"> </w:t>
      </w:r>
      <w:r>
        <w:rPr>
          <w:b/>
          <w:bCs/>
        </w:rPr>
        <w:t xml:space="preserve">legacy data structure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item.amounts</w:t>
      </w:r>
      <w:r>
        <w:t xml:space="preserve">, asset maps, or pre-statement caches).</w:t>
      </w:r>
    </w:p>
    <w:p>
      <w:pPr>
        <w:pStyle w:val="BodyText"/>
      </w:pPr>
      <w:r>
        <w:t xml:space="preserve">They are</w:t>
      </w:r>
      <w:r>
        <w:t xml:space="preserve"> </w:t>
      </w:r>
      <w:r>
        <w:rPr>
          <w:b/>
          <w:bCs/>
        </w:rPr>
        <w:t xml:space="preserve">not aggregating from the canonical Statement rows</w:t>
      </w:r>
      <w:r>
        <w:t xml:space="preserve"> </w:t>
      </w:r>
      <w:r>
        <w:t xml:space="preserve">that are already rendered and known to be correct.</w:t>
      </w:r>
    </w:p>
    <w:p>
      <w:pPr>
        <w:pStyle w:val="BlockText"/>
      </w:pPr>
      <w:r>
        <w:t xml:space="preserve">The Statement table is the single source of truth for deposits.</w:t>
      </w:r>
    </w:p>
    <w:p>
      <w:r>
        <w:pict>
          <v:rect style="width:0;height:1.5pt" o:hralign="center" o:hrstd="t" o:hr="t"/>
        </w:pict>
      </w:r>
    </w:p>
    <w:bookmarkEnd w:id="22"/>
    <w:bookmarkStart w:id="23" w:name="X527d0955481a6e408a1fa5a96b8e4528eceab4c"/>
    <w:p>
      <w:pPr>
        <w:pStyle w:val="Heading2"/>
      </w:pPr>
      <w:r>
        <w:t xml:space="preserve">Design Principle for v4.00-52 (Non-negotiable)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Statement Summary and Reconciliation must aggregate from the same Statement rows that are rendered to the user.</w:t>
      </w:r>
    </w:p>
    <w:p>
      <w:pPr>
        <w:pStyle w:val="Compact"/>
        <w:numPr>
          <w:ilvl w:val="0"/>
          <w:numId w:val="1008"/>
        </w:numPr>
      </w:pPr>
      <w:r>
        <w:t xml:space="preserve">No secondary caches, no</w:t>
      </w:r>
      <w:r>
        <w:t xml:space="preserve"> </w:t>
      </w:r>
      <w:r>
        <w:rPr>
          <w:rStyle w:val="VerbatimChar"/>
        </w:rPr>
        <w:t xml:space="preserve">amounts</w:t>
      </w:r>
      <w:r>
        <w:t xml:space="preserve"> </w:t>
      </w:r>
      <w:r>
        <w:t xml:space="preserve">dictionaries, no asset maps.</w:t>
      </w:r>
    </w:p>
    <w:p>
      <w:pPr>
        <w:pStyle w:val="Compact"/>
        <w:numPr>
          <w:ilvl w:val="0"/>
          <w:numId w:val="1008"/>
        </w:numPr>
      </w:pPr>
      <w:r>
        <w:t xml:space="preserve">Bank deposits and bank withdrawals must use</w:t>
      </w:r>
      <w:r>
        <w:t xml:space="preserve"> </w:t>
      </w:r>
      <w:r>
        <w:rPr>
          <w:b/>
          <w:bCs/>
        </w:rPr>
        <w:t xml:space="preserve">identical label semantics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7" w:name="canonical-definitions-must-be-used"/>
    <w:p>
      <w:pPr>
        <w:pStyle w:val="Heading2"/>
      </w:pPr>
      <w:r>
        <w:t xml:space="preserve">Canonical Definitions (Must Be Used)</w:t>
      </w:r>
    </w:p>
    <w:bookmarkStart w:id="24" w:name="asset-normalisation"/>
    <w:p>
      <w:pPr>
        <w:pStyle w:val="Heading3"/>
      </w:pPr>
      <w:r>
        <w:t xml:space="preserve">Asset Normalisation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normalizeAsset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^[ZX]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fiat-detection"/>
    <w:p>
      <w:pPr>
        <w:pStyle w:val="Heading3"/>
      </w:pPr>
      <w:r>
        <w:t xml:space="preserve">Fiat Detection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isFiatCurrency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normalizeAsset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bank-label-construction"/>
    <w:p>
      <w:pPr>
        <w:pStyle w:val="Heading3"/>
      </w:pPr>
      <w:r>
        <w:t xml:space="preserve">Bank Label Construction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fiatBankLabel</w:t>
      </w:r>
      <w:r>
        <w:rPr>
          <w:rStyle w:val="NormalTok"/>
        </w:rPr>
        <w:t xml:space="preserve">(base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assetRaw)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normalizeAsset</w:t>
      </w:r>
      <w:r>
        <w:rPr>
          <w:rStyle w:val="NormalTok"/>
        </w:rPr>
        <w:t xml:space="preserve">(assetRaw)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(base)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(base)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required-changes-for-v4.00-52"/>
    <w:p>
      <w:pPr>
        <w:pStyle w:val="Heading2"/>
      </w:pPr>
      <w:r>
        <w:t xml:space="preserve">Required Changes for v4.00-52</w:t>
      </w:r>
    </w:p>
    <w:bookmarkStart w:id="31" w:name="X7993172621f7fd395838622ee02d7a8b1f3495f"/>
    <w:p>
      <w:pPr>
        <w:pStyle w:val="Heading3"/>
      </w:pPr>
      <w:r>
        <w:t xml:space="preserve">Patch 1 – Statement Summary Deposits (PRIMARY FIX)</w:t>
      </w:r>
    </w:p>
    <w:p>
      <w:pPr>
        <w:pStyle w:val="FirstParagraph"/>
      </w:pPr>
      <w:r>
        <w:rPr>
          <w:b/>
          <w:bCs/>
        </w:rPr>
        <w:t xml:space="preserve">Replace existing deposit-summary aggregation entirely.</w:t>
      </w:r>
    </w:p>
    <w:bookmarkStart w:id="28" w:name="source-of-truth"/>
    <w:p>
      <w:pPr>
        <w:pStyle w:val="Heading4"/>
      </w:pPr>
      <w:r>
        <w:t xml:space="preserve">Source of truth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Statement rows</w:t>
      </w:r>
      <w:r>
        <w:t xml:space="preserve"> </w:t>
      </w:r>
      <w:r>
        <w:t xml:space="preserve">(the same array used to render the Statement table).</w:t>
      </w:r>
    </w:p>
    <w:p>
      <w:pPr>
        <w:pStyle w:val="Compact"/>
        <w:numPr>
          <w:ilvl w:val="0"/>
          <w:numId w:val="1009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item.amounts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bankDeposits</w:t>
      </w:r>
      <w:r>
        <w:t xml:space="preserve">, or legacy asset maps.</w:t>
      </w:r>
    </w:p>
    <w:bookmarkEnd w:id="28"/>
    <w:bookmarkStart w:id="29" w:name="aggregation-logic"/>
    <w:p>
      <w:pPr>
        <w:pStyle w:val="Heading4"/>
      </w:pPr>
      <w:r>
        <w:t xml:space="preserve">Aggregation logic</w:t>
      </w:r>
    </w:p>
    <w:p>
      <w:pPr>
        <w:pStyle w:val="FirstParagraph"/>
      </w:pPr>
      <w:r>
        <w:t xml:space="preserve">Pseudo-code: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bankDepositTotals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hasDeposits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statementRows)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"deposit"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isFiatCurrency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bankInstitution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recipient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fiatBankLabel</w:t>
      </w:r>
      <w:r>
        <w:rPr>
          <w:rStyle w:val="NormalTok"/>
        </w:rPr>
        <w:t xml:space="preserve">(baseLabel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bankDepositTotals[label] </w:t>
      </w:r>
      <w:r>
        <w:rPr>
          <w:rStyle w:val="OperatorTok"/>
        </w:rPr>
        <w:t xml:space="preserve">||=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GBP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gbpEq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normalizeAsset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) bankDepositTotals[label]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GBP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bankDepositTotals[label]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bankDepositTotals[label]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gbpEq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gbpEquivalent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hasDeposits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rendering-rules"/>
    <w:p>
      <w:pPr>
        <w:pStyle w:val="Heading4"/>
      </w:pPr>
      <w:r>
        <w:t xml:space="preserve">Rendering rules</w:t>
      </w:r>
    </w:p>
    <w:p>
      <w:pPr>
        <w:pStyle w:val="Compact"/>
        <w:numPr>
          <w:ilvl w:val="0"/>
          <w:numId w:val="1010"/>
        </w:numPr>
      </w:pPr>
      <w:r>
        <w:t xml:space="preserve">Table header</w:t>
      </w:r>
      <w:r>
        <w:t xml:space="preserve"> </w:t>
      </w:r>
      <w:r>
        <w:rPr>
          <w:b/>
          <w:bCs/>
        </w:rPr>
        <w:t xml:space="preserve">must be</w:t>
      </w:r>
      <w:r>
        <w:t xml:space="preserve">:</w:t>
      </w:r>
      <w:r>
        <w:t xml:space="preserve"> </w:t>
      </w:r>
      <w:r>
        <w:rPr>
          <w:rStyle w:val="VerbatimChar"/>
        </w:rPr>
        <w:t xml:space="preserve">Haricom Bank Account</w:t>
      </w:r>
    </w:p>
    <w:p>
      <w:pPr>
        <w:pStyle w:val="Compact"/>
        <w:numPr>
          <w:ilvl w:val="0"/>
          <w:numId w:val="1010"/>
        </w:numPr>
      </w:pPr>
      <w:r>
        <w:t xml:space="preserve">Rows:</w:t>
      </w:r>
    </w:p>
    <w:p>
      <w:pPr>
        <w:pStyle w:val="Compact"/>
        <w:numPr>
          <w:ilvl w:val="1"/>
          <w:numId w:val="1011"/>
        </w:numPr>
      </w:pPr>
      <w:r>
        <w:t xml:space="preserve">One row per</w:t>
      </w:r>
      <w:r>
        <w:t xml:space="preserve"> </w:t>
      </w:r>
      <w:r>
        <w:rPr>
          <w:b/>
          <w:bCs/>
        </w:rPr>
        <w:t xml:space="preserve">Institution (Currency)</w:t>
      </w:r>
      <w:r>
        <w:t xml:space="preserve"> </w:t>
      </w:r>
      <w:r>
        <w:t xml:space="preserve">with non-zero totals.</w:t>
      </w:r>
    </w:p>
    <w:p>
      <w:pPr>
        <w:pStyle w:val="Compact"/>
        <w:numPr>
          <w:ilvl w:val="1"/>
          <w:numId w:val="1011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zero rows.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hasDeposits === false</w:t>
      </w:r>
      <w:r>
        <w:t xml:space="preserve">, show: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No deposits found for this period.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atch-2-reconciliation-table-mandatory"/>
    <w:p>
      <w:pPr>
        <w:pStyle w:val="Heading3"/>
      </w:pPr>
      <w:r>
        <w:t xml:space="preserve">Patch 2 – Reconciliation Table (Mandatory)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Reconciliation Difference – Deposits from bank accounts</w:t>
      </w:r>
      <w:r>
        <w:t xml:space="preserve"> </w:t>
      </w:r>
      <w:r>
        <w:t xml:space="preserve">line must consume the</w:t>
      </w:r>
      <w:r>
        <w:t xml:space="preserve"> </w:t>
      </w:r>
      <w:r>
        <w:rPr>
          <w:b/>
          <w:bCs/>
        </w:rPr>
        <w:t xml:space="preserve">same totals</w:t>
      </w:r>
      <w:r>
        <w:t xml:space="preserve"> </w:t>
      </w:r>
      <w:r>
        <w:t xml:space="preserve">calculated above.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depGBP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depEURgbpEq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(bankDepositTotals)) {</w:t>
      </w:r>
      <w:r>
        <w:br/>
      </w:r>
      <w:r>
        <w:rPr>
          <w:rStyle w:val="NormalTok"/>
        </w:rPr>
        <w:t xml:space="preserve">  depGBP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GBP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depEURgbpEq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gbpEq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Populate:</w:t>
      </w:r>
    </w:p>
    <w:p>
      <w:pPr>
        <w:pStyle w:val="Compact"/>
        <w:numPr>
          <w:ilvl w:val="0"/>
          <w:numId w:val="1012"/>
        </w:numPr>
      </w:pPr>
      <w:r>
        <w:t xml:space="preserve">GBP column =</w:t>
      </w:r>
      <w:r>
        <w:t xml:space="preserve"> </w:t>
      </w:r>
      <w:r>
        <w:rPr>
          <w:rStyle w:val="VerbatimChar"/>
        </w:rPr>
        <w:t xml:space="preserve">depGBP</w:t>
      </w:r>
    </w:p>
    <w:p>
      <w:pPr>
        <w:pStyle w:val="Compact"/>
        <w:numPr>
          <w:ilvl w:val="0"/>
          <w:numId w:val="1012"/>
        </w:numPr>
      </w:pPr>
      <w:r>
        <w:t xml:space="preserve">EUR (GBP Eq) column =</w:t>
      </w:r>
      <w:r>
        <w:t xml:space="preserve"> </w:t>
      </w:r>
      <w:r>
        <w:rPr>
          <w:rStyle w:val="VerbatimChar"/>
        </w:rPr>
        <w:t xml:space="preserve">depEURgbpEq</w:t>
      </w:r>
    </w:p>
    <w:p>
      <w:pPr>
        <w:pStyle w:val="Compact"/>
        <w:numPr>
          <w:ilvl w:val="0"/>
          <w:numId w:val="1012"/>
        </w:numPr>
      </w:pPr>
      <w:r>
        <w:t xml:space="preserve">Total =</w:t>
      </w:r>
      <w:r>
        <w:t xml:space="preserve"> </w:t>
      </w:r>
      <w:r>
        <w:rPr>
          <w:rStyle w:val="VerbatimChar"/>
        </w:rPr>
        <w:t xml:space="preserve">depGBP + depEURgbpEq</w:t>
      </w:r>
    </w:p>
    <w:p>
      <w:pPr>
        <w:pStyle w:val="FirstParagraph"/>
      </w:pPr>
      <w:r>
        <w:t xml:space="preserve">This change alone should eliminate the massive reconciliation error currently visible.</w:t>
      </w:r>
    </w:p>
    <w:p>
      <w:r>
        <w:pict>
          <v:rect style="width:0;height:1.5pt" o:hralign="center" o:hrstd="t" o:hr="t"/>
        </w:pict>
      </w:r>
    </w:p>
    <w:bookmarkEnd w:id="32"/>
    <w:bookmarkStart w:id="33" w:name="patch-3-header-consistency"/>
    <w:p>
      <w:pPr>
        <w:pStyle w:val="Heading3"/>
      </w:pPr>
      <w:r>
        <w:t xml:space="preserve">Patch 3 – Header Consistency</w:t>
      </w:r>
    </w:p>
    <w:p>
      <w:pPr>
        <w:pStyle w:val="FirstParagraph"/>
      </w:pPr>
      <w:r>
        <w:t xml:space="preserve">Ensure</w:t>
      </w:r>
      <w:r>
        <w:t xml:space="preserve"> </w:t>
      </w:r>
      <w:r>
        <w:rPr>
          <w:b/>
          <w:bCs/>
        </w:rPr>
        <w:t xml:space="preserve">Statement Summary deposits</w:t>
      </w:r>
      <w:r>
        <w:t xml:space="preserve"> </w:t>
      </w:r>
      <w:r>
        <w:t xml:space="preserve">uses the same column semantics as</w:t>
      </w:r>
      <w:r>
        <w:t xml:space="preserve"> </w:t>
      </w:r>
      <w:r>
        <w:rPr>
          <w:b/>
          <w:bCs/>
        </w:rPr>
        <w:t xml:space="preserve">Withdrawals to Bank Accounts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Column 1:</w:t>
      </w:r>
      <w:r>
        <w:t xml:space="preserve"> </w:t>
      </w:r>
      <w:r>
        <w:rPr>
          <w:rStyle w:val="VerbatimChar"/>
        </w:rPr>
        <w:t xml:space="preserve">Haricom Bank Account</w:t>
      </w:r>
    </w:p>
    <w:p>
      <w:pPr>
        <w:pStyle w:val="Compact"/>
        <w:numPr>
          <w:ilvl w:val="0"/>
          <w:numId w:val="1013"/>
        </w:numPr>
      </w:pPr>
      <w:r>
        <w:t xml:space="preserve">Not</w:t>
      </w:r>
      <w:r>
        <w:t xml:space="preserve"> </w:t>
      </w:r>
      <w:r>
        <w:rPr>
          <w:rStyle w:val="VerbatimChar"/>
        </w:rPr>
        <w:t xml:space="preserve">Currency</w:t>
      </w:r>
    </w:p>
    <w:p>
      <w:r>
        <w:pict>
          <v:rect style="width:0;height:1.5pt" o:hralign="center" o:hrstd="t" o:hr="t"/>
        </w:pict>
      </w:r>
    </w:p>
    <w:bookmarkEnd w:id="33"/>
    <w:bookmarkStart w:id="34" w:name="X3e9f35e661d65a48e88743630011084e3614111"/>
    <w:p>
      <w:pPr>
        <w:pStyle w:val="Heading3"/>
      </w:pPr>
      <w:r>
        <w:t xml:space="preserve">Patch 4 – Remove / Disable Legacy Logic (Critical)</w:t>
      </w:r>
    </w:p>
    <w:p>
      <w:pPr>
        <w:pStyle w:val="FirstParagraph"/>
      </w:pPr>
      <w:r>
        <w:t xml:space="preserve">The following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used for deposits anymore: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item.amounts</w:t>
      </w:r>
      <w:r>
        <w:t xml:space="preserve"> </w:t>
      </w:r>
      <w:r>
        <w:t xml:space="preserve">for deposits</w:t>
      </w:r>
    </w:p>
    <w:p>
      <w:pPr>
        <w:pStyle w:val="Compact"/>
        <w:numPr>
          <w:ilvl w:val="0"/>
          <w:numId w:val="1014"/>
        </w:numPr>
      </w:pPr>
      <w:r>
        <w:t xml:space="preserve">Asset-keyed maps not derived from statement rows</w:t>
      </w:r>
    </w:p>
    <w:p>
      <w:pPr>
        <w:pStyle w:val="Compact"/>
        <w:numPr>
          <w:ilvl w:val="0"/>
          <w:numId w:val="1014"/>
        </w:numPr>
      </w:pPr>
      <w:r>
        <w:t xml:space="preserve">Any logic that assumes deposits can be inferred without reading the statement rows</w:t>
      </w:r>
    </w:p>
    <w:p>
      <w:pPr>
        <w:pStyle w:val="FirstParagraph"/>
      </w:pPr>
      <w:r>
        <w:t xml:space="preserve">This logic should be bypassed or removed to prevent future regressions.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validation-checklist-v4.00-52"/>
    <w:p>
      <w:pPr>
        <w:pStyle w:val="Heading2"/>
      </w:pPr>
      <w:r>
        <w:t xml:space="preserve">Validation Checklist (v4.00-52)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same date range</w:t>
      </w:r>
      <w:r>
        <w:t xml:space="preserve"> </w:t>
      </w:r>
      <w:r>
        <w:t xml:space="preserve">as the screenshots provided.</w:t>
      </w:r>
    </w:p>
    <w:bookmarkStart w:id="36" w:name="statement-table"/>
    <w:p>
      <w:pPr>
        <w:pStyle w:val="Heading3"/>
      </w:pPr>
      <w:r>
        <w:t xml:space="preserve">Statement Table</w:t>
      </w:r>
    </w:p>
    <w:p>
      <w:pPr>
        <w:pStyle w:val="Compact"/>
        <w:numPr>
          <w:ilvl w:val="0"/>
          <w:numId w:val="1015"/>
        </w:numPr>
      </w:pPr>
      <w:r>
        <w:t xml:space="preserve">Shows multiple</w:t>
      </w:r>
      <w:r>
        <w:t xml:space="preserve"> </w:t>
      </w:r>
      <w:r>
        <w:rPr>
          <w:rStyle w:val="VerbatimChar"/>
        </w:rPr>
        <w:t xml:space="preserve">deposit Revolut Ltd (EUR)</w:t>
      </w:r>
      <w:r>
        <w:t xml:space="preserve"> </w:t>
      </w:r>
      <w:r>
        <w:t xml:space="preserve">rows with EUR credits.</w:t>
      </w:r>
    </w:p>
    <w:bookmarkEnd w:id="36"/>
    <w:bookmarkStart w:id="37" w:name="statement-summary-deposits"/>
    <w:p>
      <w:pPr>
        <w:pStyle w:val="Heading3"/>
      </w:pPr>
      <w:r>
        <w:t xml:space="preserve">Statement Summary – Deposits</w:t>
      </w:r>
    </w:p>
    <w:p>
      <w:pPr>
        <w:pStyle w:val="Compact"/>
        <w:numPr>
          <w:ilvl w:val="0"/>
          <w:numId w:val="1016"/>
        </w:numPr>
      </w:pPr>
      <w:r>
        <w:t xml:space="preserve">Section is populated (not empty).</w:t>
      </w:r>
    </w:p>
    <w:p>
      <w:pPr>
        <w:pStyle w:val="Compact"/>
        <w:numPr>
          <w:ilvl w:val="0"/>
          <w:numId w:val="1016"/>
        </w:numPr>
      </w:pPr>
      <w:r>
        <w:t xml:space="preserve">Header reads</w:t>
      </w:r>
      <w:r>
        <w:t xml:space="preserve"> </w:t>
      </w:r>
      <w:r>
        <w:rPr>
          <w:rStyle w:val="VerbatimChar"/>
        </w:rPr>
        <w:t xml:space="preserve">Haricom Bank Account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Shows</w:t>
      </w:r>
      <w:r>
        <w:t xml:space="preserve"> </w:t>
      </w:r>
      <w:r>
        <w:rPr>
          <w:rStyle w:val="VerbatimChar"/>
        </w:rPr>
        <w:t xml:space="preserve">Revolut Ltd (EUR)</w:t>
      </w:r>
      <w:r>
        <w:t xml:space="preserve"> </w:t>
      </w:r>
      <w:r>
        <w:t xml:space="preserve">with the correct EUR total.</w:t>
      </w:r>
    </w:p>
    <w:p>
      <w:pPr>
        <w:pStyle w:val="Compact"/>
        <w:numPr>
          <w:ilvl w:val="0"/>
          <w:numId w:val="1016"/>
        </w:numPr>
      </w:pPr>
      <w:r>
        <w:t xml:space="preserve">No EUR/GBP zero rows.</w:t>
      </w:r>
    </w:p>
    <w:bookmarkEnd w:id="37"/>
    <w:bookmarkStart w:id="38" w:name="statement-summary-withdrawals"/>
    <w:p>
      <w:pPr>
        <w:pStyle w:val="Heading3"/>
      </w:pPr>
      <w:r>
        <w:t xml:space="preserve">Statement Summary – Withdrawals</w:t>
      </w:r>
    </w:p>
    <w:p>
      <w:pPr>
        <w:pStyle w:val="Compact"/>
        <w:numPr>
          <w:ilvl w:val="0"/>
          <w:numId w:val="1017"/>
        </w:numPr>
      </w:pPr>
      <w:r>
        <w:t xml:space="preserve">Unchanged and still correct.</w:t>
      </w:r>
    </w:p>
    <w:bookmarkEnd w:id="38"/>
    <w:bookmarkStart w:id="39" w:name="reconciliation-difference"/>
    <w:p>
      <w:pPr>
        <w:pStyle w:val="Heading3"/>
      </w:pPr>
      <w:r>
        <w:t xml:space="preserve">Reconciliation Difference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Deposits from bank accounts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0.00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Large artificial reconciliation difference is resolved.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xplicit-non-goals-do-not-do"/>
    <w:p>
      <w:pPr>
        <w:pStyle w:val="Heading2"/>
      </w:pPr>
      <w:r>
        <w:t xml:space="preserve">Explicit Non-Goals (Do NOT Do)</w:t>
      </w:r>
    </w:p>
    <w:p>
      <w:pPr>
        <w:pStyle w:val="Compact"/>
        <w:numPr>
          <w:ilvl w:val="0"/>
          <w:numId w:val="1019"/>
        </w:numPr>
      </w:pPr>
      <w:r>
        <w:t xml:space="preserve">Do NOT introduce frequency-based inference.</w:t>
      </w:r>
    </w:p>
    <w:p>
      <w:pPr>
        <w:pStyle w:val="Compact"/>
        <w:numPr>
          <w:ilvl w:val="0"/>
          <w:numId w:val="1019"/>
        </w:numPr>
      </w:pPr>
      <w:r>
        <w:t xml:space="preserve">Do NOT guess bank identity.</w:t>
      </w:r>
    </w:p>
    <w:p>
      <w:pPr>
        <w:pStyle w:val="Compact"/>
        <w:numPr>
          <w:ilvl w:val="0"/>
          <w:numId w:val="1019"/>
        </w:numPr>
      </w:pPr>
      <w:r>
        <w:t xml:space="preserve">Do NOT attempt to rejoin deposits via withdrawal history.</w:t>
      </w:r>
    </w:p>
    <w:p>
      <w:pPr>
        <w:pStyle w:val="Compact"/>
        <w:numPr>
          <w:ilvl w:val="0"/>
          <w:numId w:val="1019"/>
        </w:numPr>
      </w:pPr>
      <w:r>
        <w:t xml:space="preserve">Do NOT change crypto logic (USDT/XRP).</w:t>
      </w:r>
    </w:p>
    <w:p>
      <w:r>
        <w:pict>
          <v:rect style="width:0;height:1.5pt" o:hralign="center" o:hrstd="t" o:hr="t"/>
        </w:pict>
      </w:r>
    </w:p>
    <w:bookmarkEnd w:id="41"/>
    <w:bookmarkStart w:id="42" w:name="versioning"/>
    <w:p>
      <w:pPr>
        <w:pStyle w:val="Heading2"/>
      </w:pPr>
      <w:r>
        <w:t xml:space="preserve">Versioning</w:t>
      </w:r>
    </w:p>
    <w:p>
      <w:pPr>
        <w:pStyle w:val="Compact"/>
        <w:numPr>
          <w:ilvl w:val="0"/>
          <w:numId w:val="1020"/>
        </w:numPr>
      </w:pPr>
      <w:r>
        <w:t xml:space="preserve">Internal version string:</w:t>
      </w:r>
      <w:r>
        <w:t xml:space="preserve"> </w:t>
      </w:r>
      <w:r>
        <w:rPr>
          <w:b/>
          <w:bCs/>
        </w:rPr>
        <w:t xml:space="preserve">v4.00-52</w:t>
      </w:r>
    </w:p>
    <w:p>
      <w:pPr>
        <w:pStyle w:val="Compact"/>
        <w:numPr>
          <w:ilvl w:val="0"/>
          <w:numId w:val="1020"/>
        </w:numPr>
      </w:pPr>
      <w:r>
        <w:t xml:space="preserve">Canonical filename remains:</w:t>
      </w:r>
      <w:r>
        <w:t xml:space="preserve"> </w:t>
      </w:r>
      <w:r>
        <w:rPr>
          <w:rStyle w:val="VerbatimChar"/>
        </w:rPr>
        <w:t xml:space="preserve">KrakenLedgerReport.html</w:t>
      </w:r>
    </w:p>
    <w:p>
      <w:r>
        <w:pict>
          <v:rect style="width:0;height:1.5pt" o:hralign="center" o:hrstd="t" o:hr="t"/>
        </w:pict>
      </w:r>
    </w:p>
    <w:bookmarkEnd w:id="42"/>
    <w:bookmarkStart w:id="43" w:name="execution-constraints-non-negotiable"/>
    <w:p>
      <w:pPr>
        <w:pStyle w:val="Heading2"/>
      </w:pPr>
      <w:r>
        <w:t xml:space="preserve">Execution Constraints (Non-Negotiable)</w:t>
      </w:r>
    </w:p>
    <w:p>
      <w:pPr>
        <w:pStyle w:val="FirstParagraph"/>
      </w:pPr>
      <w:r>
        <w:t xml:space="preserve">The executing agent</w:t>
      </w:r>
      <w:r>
        <w:t xml:space="preserve"> </w:t>
      </w:r>
      <w:r>
        <w:rPr>
          <w:b/>
          <w:bCs/>
        </w:rPr>
        <w:t xml:space="preserve">must not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simplify the logic</w:t>
      </w:r>
    </w:p>
    <w:p>
      <w:pPr>
        <w:pStyle w:val="Compact"/>
        <w:numPr>
          <w:ilvl w:val="0"/>
          <w:numId w:val="1021"/>
        </w:numPr>
      </w:pPr>
      <w:r>
        <w:t xml:space="preserve">optimise the logic</w:t>
      </w:r>
    </w:p>
    <w:p>
      <w:pPr>
        <w:pStyle w:val="Compact"/>
        <w:numPr>
          <w:ilvl w:val="0"/>
          <w:numId w:val="1021"/>
        </w:numPr>
      </w:pPr>
      <w:r>
        <w:t xml:space="preserve">refactor beyond what is explicitly stated</w:t>
      </w:r>
    </w:p>
    <w:p>
      <w:pPr>
        <w:pStyle w:val="Compact"/>
        <w:numPr>
          <w:ilvl w:val="0"/>
          <w:numId w:val="1021"/>
        </w:numPr>
      </w:pPr>
      <w:r>
        <w:t xml:space="preserve">reinterpret intent</w:t>
      </w:r>
    </w:p>
    <w:p>
      <w:pPr>
        <w:pStyle w:val="Compact"/>
        <w:numPr>
          <w:ilvl w:val="0"/>
          <w:numId w:val="1021"/>
        </w:numPr>
      </w:pPr>
      <w:r>
        <w:t xml:space="preserve">substitute alternative data sources</w:t>
      </w:r>
    </w:p>
    <w:p>
      <w:pPr>
        <w:pStyle w:val="Compact"/>
        <w:numPr>
          <w:ilvl w:val="0"/>
          <w:numId w:val="1021"/>
        </w:numPr>
      </w:pPr>
      <w:r>
        <w:t xml:space="preserve">merge steps or skip steps</w:t>
      </w:r>
    </w:p>
    <w:p>
      <w:pPr>
        <w:pStyle w:val="FirstParagraph"/>
      </w:pPr>
      <w:r>
        <w:t xml:space="preserve">The executing agent</w:t>
      </w:r>
      <w:r>
        <w:t xml:space="preserve"> </w:t>
      </w:r>
      <w:r>
        <w:rPr>
          <w:b/>
          <w:bCs/>
        </w:rPr>
        <w:t xml:space="preserve">must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implement each patch exactly as written</w:t>
      </w:r>
    </w:p>
    <w:p>
      <w:pPr>
        <w:pStyle w:val="Compact"/>
        <w:numPr>
          <w:ilvl w:val="0"/>
          <w:numId w:val="1022"/>
        </w:numPr>
      </w:pPr>
      <w:r>
        <w:t xml:space="preserve">treat the Statement rows as the single source of truth</w:t>
      </w:r>
    </w:p>
    <w:p>
      <w:pPr>
        <w:pStyle w:val="Compact"/>
        <w:numPr>
          <w:ilvl w:val="0"/>
          <w:numId w:val="1022"/>
        </w:numPr>
      </w:pPr>
      <w:r>
        <w:t xml:space="preserve">preserve all existing correct behaviour outside the specified patches</w:t>
      </w:r>
    </w:p>
    <w:p>
      <w:pPr>
        <w:pStyle w:val="FirstParagraph"/>
      </w:pPr>
      <w:r>
        <w:t xml:space="preserve">Any deviation invalidates the fix.</w:t>
      </w:r>
    </w:p>
    <w:p>
      <w:r>
        <w:pict>
          <v:rect style="width:0;height:1.5pt" o:hralign="center" o:hrstd="t" o:hr="t"/>
        </w:pict>
      </w:r>
    </w:p>
    <w:bookmarkEnd w:id="43"/>
    <w:bookmarkStart w:id="44" w:name="handover-note"/>
    <w:p>
      <w:pPr>
        <w:pStyle w:val="Heading2"/>
      </w:pPr>
      <w:r>
        <w:t xml:space="preserve">Handover Note</w:t>
      </w:r>
    </w:p>
    <w:p>
      <w:pPr>
        <w:pStyle w:val="FirstParagraph"/>
      </w:pPr>
      <w:r>
        <w:t xml:space="preserve">This document is complete and self-contained. Another agent should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apply the changes exactly as written above and produce</w:t>
      </w:r>
      <w:r>
        <w:t xml:space="preserve"> </w:t>
      </w:r>
      <w:r>
        <w:rPr>
          <w:b/>
          <w:bCs/>
        </w:rPr>
        <w:t xml:space="preserve">v4.00-52</w:t>
      </w:r>
      <w:r>
        <w:t xml:space="preserve">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2026-02-02T08:09:18Z</dcterms:created>
  <dcterms:modified xsi:type="dcterms:W3CDTF">2026-02-02T08:09:18Z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