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cker"/>
      </w:pPr>
      <w:r>
        <w:t xml:space="preserve">操作员升级指引</w:t>
      </w:r>
    </w:p>
    <w:p>
      <w:pPr>
        <w:pStyle w:val="Title"/>
      </w:pPr>
      <w:r>
        <w:t xml:space="preserve">Fortune BJ 产能优化工具</w:t>
      </w:r>
    </w:p>
    <w:p>
      <w:pPr>
        <w:pStyle w:val="Subtitle"/>
      </w:pPr>
      <w:r>
        <w:t xml:space="preserve">2026年8月11日至8月12日升级说明与仪表盘阅读指引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1800"/>
        <w:gridCol w:w="4860"/>
        <w:gridCol w:w="2700"/>
      </w:tblGrid>
      <w:tr>
        <w:tc>
          <w:tcPr>
            <w:tcW w:w="180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适用版本</w:t>
            </w:r>
          </w:p>
        </w:tc>
        <w:tc>
          <w:tcPr>
            <w:tcW w:w="486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适用人员</w:t>
            </w:r>
          </w:p>
        </w:tc>
        <w:tc>
          <w:tcPr>
            <w:tcW w:w="270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更新日期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v0.1.7</w:t>
            </w:r>
          </w:p>
        </w:tc>
        <w:tc>
          <w:tcPr>
            <w:tcW w:w="4860" w:type="dxa"/>
            <w:vAlign w:val="center"/>
          </w:tcPr>
          <w:p>
            <w:pPr>
              <w:pStyle w:val="TableText"/>
            </w:pPr>
            <w:r>
              <w:t xml:space="preserve">计划、生产、工艺、设备、外协及管理人员</w:t>
            </w:r>
          </w:p>
        </w:tc>
        <w:tc>
          <w:tcPr>
            <w:tcW w:w="2700" w:type="dxa"/>
            <w:vAlign w:val="center"/>
          </w:tcPr>
          <w:p>
            <w:pPr>
              <w:pStyle w:val="TableText"/>
            </w:pPr>
            <w:r>
              <w:t xml:space="preserve">2026-08-12</w:t>
            </w:r>
          </w:p>
        </w:tc>
      </w:tr>
    </w:tbl>
    <w:p>
      <w:pPr>
        <w:pStyle w:val="Callout"/>
      </w:pPr>
      <w:r>
        <w:rPr>
          <w:b/>
        </w:rPr>
        <w:t xml:space="preserve">先看这里  </w:t>
      </w:r>
      <w:r>
        <w:t xml:space="preserve">本次升级的重点是让预测需求能够按BOM层级进入产能分析、让数据缺口在仪表盘上直接可见、让热力图按客户习惯展示需求工时与设备需求数量，并让工具在下次打开时继续使用上次配置。工具输出用于产能评估和改善讨论，不作为车间执行排产单。</w:t>
      </w:r>
    </w:p>
    <w:p>
      <w:pPr>
        <w:pStyle w:val="Heading1"/>
        <w:keepNext/>
      </w:pPr>
      <w:r>
        <w:t xml:space="preserve">1. 两天内完成了哪些升级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1200"/>
        <w:gridCol w:w="2600"/>
        <w:gridCol w:w="5560"/>
      </w:tblGrid>
      <w:tr>
        <w:tc>
          <w:tcPr>
            <w:tcW w:w="120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日期</w:t>
            </w:r>
          </w:p>
        </w:tc>
        <w:tc>
          <w:tcPr>
            <w:tcW w:w="260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升级内容</w:t>
            </w:r>
          </w:p>
        </w:tc>
        <w:tc>
          <w:tcPr>
            <w:tcW w:w="556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操作员能看到的变化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8月11日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工作组热力图升级</w:t>
            </w:r>
          </w:p>
        </w:tc>
        <w:tc>
          <w:tcPr>
            <w:tcW w:w="5560" w:type="dxa"/>
            <w:vAlign w:val="center"/>
          </w:tcPr>
          <w:p>
            <w:pPr>
              <w:pStyle w:val="TableText"/>
            </w:pPr>
            <w:r>
              <w:t xml:space="preserve">热力图按工作中心表中的“大类”分区，再按资源组展示需求工时、理论工时、负荷和设备需求数量。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8月11日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三地BOM接入</w:t>
            </w:r>
          </w:p>
        </w:tc>
        <w:tc>
          <w:tcPr>
            <w:tcW w:w="5560" w:type="dxa"/>
            <w:vAlign w:val="center"/>
          </w:tcPr>
          <w:p>
            <w:pPr>
              <w:pStyle w:val="TableText"/>
            </w:pPr>
            <w:r>
              <w:t xml:space="preserve">预测需求先在北京、沈阳、南通BOM中查找顶层物料，并展开需要制造的下层M类物料。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8月11日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预测制造顺序</w:t>
            </w:r>
          </w:p>
        </w:tc>
        <w:tc>
          <w:tcPr>
            <w:tcW w:w="5560" w:type="dxa"/>
            <w:vAlign w:val="center"/>
          </w:tcPr>
          <w:p>
            <w:pPr>
              <w:pStyle w:val="TableText"/>
            </w:pPr>
            <w:r>
              <w:t xml:space="preserve">预测BOM采用整批齐套方式，下层制造件先完成，再进入上层制造件，最后支持顶层物料。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8月12日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BOM后匹配工艺路线</w:t>
            </w:r>
          </w:p>
        </w:tc>
        <w:tc>
          <w:tcPr>
            <w:tcW w:w="5560" w:type="dxa"/>
            <w:vAlign w:val="center"/>
          </w:tcPr>
          <w:p>
            <w:pPr>
              <w:pStyle w:val="TableText"/>
            </w:pPr>
            <w:r>
              <w:t xml:space="preserve">先确认预测物料的BOM制造范围，再为顶层和下层制造件分别匹配三地工艺路线。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8月12日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缺失数据不再阻断整次分析</w:t>
            </w:r>
          </w:p>
        </w:tc>
        <w:tc>
          <w:tcPr>
            <w:tcW w:w="5560" w:type="dxa"/>
            <w:vAlign w:val="center"/>
          </w:tcPr>
          <w:p>
            <w:pPr>
              <w:pStyle w:val="TableText"/>
            </w:pPr>
            <w:r>
              <w:t xml:space="preserve">未找到BOM或工艺路线的预测物料会被记录；可计算的其他订单和预测物料继续运行。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8月12日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仪表盘增加预测完整性数据</w:t>
            </w:r>
          </w:p>
        </w:tc>
        <w:tc>
          <w:tcPr>
            <w:tcW w:w="5560" w:type="dxa"/>
            <w:vAlign w:val="center"/>
          </w:tcPr>
          <w:p>
            <w:pPr>
              <w:pStyle w:val="TableText"/>
            </w:pPr>
            <w:r>
              <w:t xml:space="preserve">首页直接显示预测顶层物料、未匹配BOM、未匹配工艺路线、下层制造件缺路线和可计算虚拟订单数量。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8月12日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GUI记住上次配置</w:t>
            </w:r>
          </w:p>
        </w:tc>
        <w:tc>
          <w:tcPr>
            <w:tcW w:w="5560" w:type="dxa"/>
            <w:vAlign w:val="center"/>
          </w:tcPr>
          <w:p>
            <w:pPr>
              <w:pStyle w:val="TableText"/>
            </w:pPr>
            <w:r>
              <w:t xml:space="preserve">关闭工具时保存模式、路径、输出目录、流转方式、主题等设置；下次打开自动恢复。优化开始日期始终更新为当天。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8月12日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订单明细增加BOM追溯字段</w:t>
            </w:r>
          </w:p>
        </w:tc>
        <w:tc>
          <w:tcPr>
            <w:tcW w:w="5560" w:type="dxa"/>
            <w:vAlign w:val="center"/>
          </w:tcPr>
          <w:p>
            <w:pPr>
              <w:pStyle w:val="TableText"/>
            </w:pPr>
            <w:r>
              <w:t xml:space="preserve">ModeA和ModeB的订单工序分配明细都可按BOM根订单、顶层物料、层级和父项筛选。</w:t>
            </w:r>
          </w:p>
        </w:tc>
      </w:tr>
    </w:tbl>
    <w:p>
      <w:pPr>
        <w:pStyle w:val="Heading1"/>
        <w:keepNext/>
      </w:pPr>
      <w:r>
        <w:t xml:space="preserve">2. 升级后的日常操作</w:t>
      </w:r>
    </w:p>
    <w:p>
      <w:pPr>
        <w:pStyle w:val="ListNumber"/>
        <w:numPr>
          <w:ilvl w:val="0"/>
          <w:numId w:val="2"/>
        </w:numPr>
      </w:pPr>
      <w:r>
        <w:t xml:space="preserve">把本次需要分析的订单、生产订单工序、工作中心、工作日历和可选工序文件放入“数据导入”文件夹。</w:t>
      </w:r>
    </w:p>
    <w:p>
      <w:pPr>
        <w:pStyle w:val="ListNumber"/>
        <w:numPr>
          <w:ilvl w:val="0"/>
          <w:numId w:val="2"/>
        </w:numPr>
      </w:pPr>
      <w:r>
        <w:t xml:space="preserve">需要分析预测时，维护“需求预测_产能分析输入模板.xlsx”，并在首页勾选“需求预测导入”；不需要预测时取消勾选。</w:t>
      </w:r>
    </w:p>
    <w:p>
      <w:pPr>
        <w:pStyle w:val="ListNumber"/>
        <w:numPr>
          <w:ilvl w:val="0"/>
          <w:numId w:val="2"/>
        </w:numPr>
      </w:pPr>
      <w:r>
        <w:t xml:space="preserve">确认三份BOM文件和三份工艺路线文件位于“数据导入”文件夹，文件名与sheet名称保持不变。</w:t>
      </w:r>
    </w:p>
    <w:p>
      <w:pPr>
        <w:pStyle w:val="ListNumber"/>
        <w:numPr>
          <w:ilvl w:val="0"/>
          <w:numId w:val="2"/>
        </w:numPr>
      </w:pPr>
      <w:r>
        <w:t xml:space="preserve">打开工具，确认分析模式、周/月粒度、工序流转方式和输出目录。上次配置会自动恢复。</w:t>
      </w:r>
    </w:p>
    <w:p>
      <w:pPr>
        <w:pStyle w:val="ListNumber"/>
        <w:numPr>
          <w:ilvl w:val="0"/>
          <w:numId w:val="2"/>
        </w:numPr>
      </w:pPr>
      <w:r>
        <w:t xml:space="preserve">确认“优化开始日期”。每次启动默认是当天；本次要从其他日期开始时，再手动修改。</w:t>
      </w:r>
    </w:p>
    <w:p>
      <w:pPr>
        <w:pStyle w:val="ListNumber"/>
        <w:numPr>
          <w:ilvl w:val="0"/>
          <w:numId w:val="2"/>
        </w:numPr>
      </w:pPr>
      <w:r>
        <w:t xml:space="preserve">运行ModeA查看原始需求压力；需要评估可选工序和外包改善时，再运行ModeB。</w:t>
      </w:r>
    </w:p>
    <w:p>
      <w:pPr>
        <w:pStyle w:val="ListNumber"/>
        <w:numPr>
          <w:ilvl w:val="0"/>
          <w:numId w:val="2"/>
        </w:numPr>
      </w:pPr>
      <w:r>
        <w:t xml:space="preserve">运行完成后点击“马上打开生成的报告”，先看仪表板，再看工作组热力图和订单工序分配明细。</w:t>
      </w:r>
    </w:p>
    <w:p>
      <w:pPr>
        <w:pStyle w:val="Callout"/>
      </w:pPr>
      <w:r>
        <w:rPr>
          <w:b/>
        </w:rPr>
        <w:t xml:space="preserve">配置提醒  </w:t>
      </w:r>
      <w:r>
        <w:t xml:space="preserve">工具会记住上次输入文件路径和分析选项，但不会记住上次的优化开始日期。这样可以避免隔天运行时继续使用旧日期。</w:t>
      </w:r>
    </w:p>
    <w:p>
      <w:pPr>
        <w:pStyle w:val="Heading1"/>
        <w:keepNext/>
      </w:pPr>
      <w:r>
        <w:t xml:space="preserve">3. 本次新增或需要维护的输入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800"/>
        <w:gridCol w:w="3000"/>
        <w:gridCol w:w="3560"/>
      </w:tblGrid>
      <w:tr>
        <w:tc>
          <w:tcPr>
            <w:tcW w:w="280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文件或字段</w:t>
            </w:r>
          </w:p>
        </w:tc>
        <w:tc>
          <w:tcPr>
            <w:tcW w:w="300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操作员维护内容</w:t>
            </w:r>
          </w:p>
        </w:tc>
        <w:tc>
          <w:tcPr>
            <w:tcW w:w="356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使用说明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工作中心_产能分析输入模板.xlsx / E列“大类”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为每个工作中心填写机加、表处、热处等大类。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工作组热力图按该字段分区；空白会显示为“未分类”，同一资源组出现多个大类会显示“大类冲突”。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北京BOM.xlsx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sheet保持为Data。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预测顶层物料优先在北京BOM中查找。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沈阳BOM.xlsx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sheet保持为Data。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北京未找到时继续在沈阳BOM中查找。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南通BOM.xlsx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sheet保持为Data。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北京和沈阳均未找到时继续在南通BOM中查找。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工艺路线-北京.xlsx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sheet保持为Data，维护物料、工序编码和标准工时。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预测物料工艺路线优先使用北京。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工艺路线-沈阳.xlsx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sheet保持为Data。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北京未匹配时使用沈阳。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工艺路线-南通.xlsx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sheet保持为Data。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北京和沈阳未匹配时使用南通。</w:t>
            </w:r>
          </w:p>
        </w:tc>
      </w:tr>
    </w:tbl>
    <w:p>
      <w:r>
        <w:t xml:space="preserve">预测BOM中的顶层物料始终作为制造件；下层只有物料编码以M开头的项目进入制造产能分析。其他下层物料不生成制造工序。</w:t>
      </w:r>
    </w:p>
    <w:p>
      <w:pPr>
        <w:pStyle w:val="Heading2"/>
        <w:keepNext/>
      </w:pPr>
      <w:r>
        <w:t xml:space="preserve">3.1 预测需求的结果怎么理解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500"/>
        <w:gridCol w:w="3500"/>
        <w:gridCol w:w="3360"/>
      </w:tblGrid>
      <w:tr>
        <w:tc>
          <w:tcPr>
            <w:tcW w:w="250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情况</w:t>
            </w:r>
          </w:p>
        </w:tc>
        <w:tc>
          <w:tcPr>
            <w:tcW w:w="350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工具处理</w:t>
            </w:r>
          </w:p>
        </w:tc>
        <w:tc>
          <w:tcPr>
            <w:tcW w:w="336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操作员下一步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顶层物料找到BOM和工艺路线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顶层物料和可匹配路线的下层M制造件进入计算。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</w:pPr>
            <w:r>
              <w:t xml:space="preserve">在订单工序分配明细按预测虚拟订单号或BOM根订单查看完整链条。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顶层物料未找到BOM，但找到自身工艺路线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不展开下层制造件，顶层物料自身继续参与计算。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</w:pPr>
            <w:r>
              <w:t xml:space="preserve">在数据质量/调整记录中确认是否需要补BOM。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顶层物料未找到工艺路线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该顶层预测物料不生成工序，不参与本次负荷。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</w:pPr>
            <w:r>
              <w:t xml:space="preserve">查看仪表盘“预测顶层物料未匹配工艺路线数”，再到数据质量页取得物料清单。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某个BOM下层M制造件未找到工艺路线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只跳过该制造件；同一BOM内其他已匹配物料继续计算。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</w:pPr>
            <w:r>
              <w:t xml:space="preserve">查看“BOM下层制造件未匹配工艺路线数”，安排工艺路线维护。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4. 仪表盘怎么读</w:t>
      </w:r>
    </w:p>
    <w:p>
      <w:r>
        <w:t xml:space="preserve">仪表盘用于确认本次运行范围、核心数量、重点瓶颈和报告口径。建议每次打开报告先检查仪表盘，确认模式、日期和数据完整性，再进入其他sheet。</w:t>
      </w:r>
    </w:p>
    <w:p>
      <w:pPr>
        <w:pStyle w:val="Heading2"/>
        <w:keepNext/>
      </w:pPr>
      <w:r>
        <w:t xml:space="preserve">4.1 顶部运行摘要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200"/>
        <w:gridCol w:w="4100"/>
        <w:gridCol w:w="3060"/>
      </w:tblGrid>
      <w:tr>
        <w:tc>
          <w:tcPr>
            <w:tcW w:w="220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显示项</w:t>
            </w:r>
          </w:p>
        </w:tc>
        <w:tc>
          <w:tcPr>
            <w:tcW w:w="410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306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阅读示例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模式</w:t>
            </w:r>
          </w:p>
        </w:tc>
        <w:tc>
          <w:tcPr>
            <w:tcW w:w="4100" w:type="dxa"/>
            <w:vAlign w:val="center"/>
          </w:tcPr>
          <w:p>
            <w:pPr>
              <w:pStyle w:val="TableText"/>
            </w:pPr>
            <w:r>
              <w:t xml:space="preserve">本次报告是ModeA还是ModeB。</w:t>
            </w:r>
          </w:p>
        </w:tc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ModeA表示查看原始需求压力；ModeB表示查看可选路径优化后的产能建议。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运行时间</w:t>
            </w:r>
          </w:p>
        </w:tc>
        <w:tc>
          <w:tcPr>
            <w:tcW w:w="4100" w:type="dxa"/>
            <w:vAlign w:val="center"/>
          </w:tcPr>
          <w:p>
            <w:pPr>
              <w:pStyle w:val="TableText"/>
            </w:pPr>
            <w:r>
              <w:t xml:space="preserve">本次报告实际生成时间。</w:t>
            </w:r>
          </w:p>
        </w:tc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用于区分同一天多次运行的报告。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优化粒度</w:t>
            </w:r>
          </w:p>
        </w:tc>
        <w:tc>
          <w:tcPr>
            <w:tcW w:w="4100" w:type="dxa"/>
            <w:vAlign w:val="center"/>
          </w:tcPr>
          <w:p>
            <w:pPr>
              <w:pStyle w:val="TableText"/>
            </w:pPr>
            <w:r>
              <w:t xml:space="preserve">报告按周还是按月汇总。</w:t>
            </w:r>
          </w:p>
        </w:tc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选择周时，热力图横向显示周及日期跨度。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优化开始日期</w:t>
            </w:r>
          </w:p>
        </w:tc>
        <w:tc>
          <w:tcPr>
            <w:tcW w:w="4100" w:type="dxa"/>
            <w:vAlign w:val="center"/>
          </w:tcPr>
          <w:p>
            <w:pPr>
              <w:pStyle w:val="TableText"/>
            </w:pPr>
            <w:r>
              <w:t xml:space="preserve">订单链条不得早于的分析起点。</w:t>
            </w:r>
          </w:p>
        </w:tc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显示2026-08-12，表示早于该日的未完成链条整体后移到该日开始。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工序流转</w:t>
            </w:r>
          </w:p>
        </w:tc>
        <w:tc>
          <w:tcPr>
            <w:tcW w:w="4100" w:type="dxa"/>
            <w:vAlign w:val="center"/>
          </w:tcPr>
          <w:p>
            <w:pPr>
              <w:pStyle w:val="TableText"/>
            </w:pPr>
            <w:r>
              <w:t xml:space="preserve">本次使用整批、半批、单件流或交期强制。</w:t>
            </w:r>
          </w:p>
        </w:tc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整批表示本批完成后再进入下一工序。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需求预测</w:t>
            </w:r>
          </w:p>
        </w:tc>
        <w:tc>
          <w:tcPr>
            <w:tcW w:w="4100" w:type="dxa"/>
            <w:vAlign w:val="center"/>
          </w:tcPr>
          <w:p>
            <w:pPr>
              <w:pStyle w:val="TableText"/>
            </w:pPr>
            <w:r>
              <w:t xml:space="preserve">本次是否把预测需求与真实订单一起计算。</w:t>
            </w:r>
          </w:p>
        </w:tc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显示“启用”时，仪表盘会出现预测完整性数量。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参考工序数/周期</w:t>
            </w:r>
          </w:p>
        </w:tc>
        <w:tc>
          <w:tcPr>
            <w:tcW w:w="4100" w:type="dxa"/>
            <w:vAlign w:val="center"/>
          </w:tcPr>
          <w:p>
            <w:pPr>
              <w:pStyle w:val="TableText"/>
            </w:pPr>
            <w:r>
              <w:t xml:space="preserve">用于观察每个周/月的模型规模。</w:t>
            </w:r>
          </w:p>
        </w:tc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这是参考提示，不是自动跳过阈值。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工作日历</w:t>
            </w:r>
          </w:p>
        </w:tc>
        <w:tc>
          <w:tcPr>
            <w:tcW w:w="4100" w:type="dxa"/>
            <w:vAlign w:val="center"/>
          </w:tcPr>
          <w:p>
            <w:pPr>
              <w:pStyle w:val="TableText"/>
            </w:pPr>
            <w:r>
              <w:t xml:space="preserve">本次计算产能使用的日历文件。</w:t>
            </w:r>
          </w:p>
        </w:tc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运行前确认文件名是当前有效日历。</w:t>
            </w:r>
          </w:p>
        </w:tc>
      </w:tr>
    </w:tbl>
    <w:p>
      <w:pPr>
        <w:pStyle w:val="Heading2"/>
        <w:keepNext/>
      </w:pPr>
      <w:r>
        <w:t xml:space="preserve">4.2 核心指标：订单与产能范围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700"/>
        <w:gridCol w:w="3950"/>
        <w:gridCol w:w="2710"/>
      </w:tblGrid>
      <w:tr>
        <w:tc>
          <w:tcPr>
            <w:tcW w:w="270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指标</w:t>
            </w:r>
          </w:p>
        </w:tc>
        <w:tc>
          <w:tcPr>
            <w:tcW w:w="395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表示什么</w:t>
            </w:r>
          </w:p>
        </w:tc>
        <w:tc>
          <w:tcPr>
            <w:tcW w:w="271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怎么用</w:t>
            </w:r>
          </w:p>
        </w:tc>
      </w:tr>
      <w:tr>
        <w:tc>
          <w:tcPr>
            <w:tcW w:w="2700" w:type="dxa"/>
            <w:vAlign w:val="center"/>
          </w:tcPr>
          <w:p>
            <w:pPr>
              <w:pStyle w:val="TableText"/>
            </w:pPr>
            <w:r>
              <w:t xml:space="preserve">分析订单数</w:t>
            </w:r>
          </w:p>
        </w:tc>
        <w:tc>
          <w:tcPr>
            <w:tcW w:w="3950" w:type="dxa"/>
            <w:vAlign w:val="center"/>
          </w:tcPr>
          <w:p>
            <w:pPr>
              <w:pStyle w:val="TableText"/>
            </w:pPr>
            <w:r>
              <w:t xml:space="preserve">本次实际生成工序并进入分析的订单号数量，包含可计算的真实订单和预测虚拟订单。</w:t>
            </w:r>
          </w:p>
        </w:tc>
        <w:tc>
          <w:tcPr>
            <w:tcW w:w="2710" w:type="dxa"/>
            <w:vAlign w:val="center"/>
          </w:tcPr>
          <w:p>
            <w:pPr>
              <w:pStyle w:val="TableText"/>
            </w:pPr>
            <w:r>
              <w:t xml:space="preserve">与输入订单数不同是正常的；未匹配路线、占位交期或无有效需求的记录不会计入。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pStyle w:val="TableText"/>
            </w:pPr>
            <w:r>
              <w:t xml:space="preserve">厂内产能占用工序数</w:t>
            </w:r>
          </w:p>
        </w:tc>
        <w:tc>
          <w:tcPr>
            <w:tcW w:w="3950" w:type="dxa"/>
            <w:vAlign w:val="center"/>
          </w:tcPr>
          <w:p>
            <w:pPr>
              <w:pStyle w:val="TableText"/>
            </w:pPr>
            <w:r>
              <w:t xml:space="preserve">本次占用厂内工作中心产能的工序数量。</w:t>
            </w:r>
          </w:p>
        </w:tc>
        <w:tc>
          <w:tcPr>
            <w:tcW w:w="2710" w:type="dxa"/>
            <w:vAlign w:val="center"/>
          </w:tcPr>
          <w:p>
            <w:pPr>
              <w:pStyle w:val="TableText"/>
            </w:pPr>
            <w:r>
              <w:t xml:space="preserve">用于判断本次分析规模；它不是产品数量，也不是报告明细拆分行数。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pStyle w:val="TableText"/>
            </w:pPr>
            <w:r>
              <w:t xml:space="preserve">外协模拟工序数</w:t>
            </w:r>
          </w:p>
        </w:tc>
        <w:tc>
          <w:tcPr>
            <w:tcW w:w="3950" w:type="dxa"/>
            <w:vAlign w:val="center"/>
          </w:tcPr>
          <w:p>
            <w:pPr>
              <w:pStyle w:val="TableText"/>
            </w:pPr>
            <w:r>
              <w:t xml:space="preserve">本次被分配到外包路径、不占厂内工作中心产能的工序数量。</w:t>
            </w:r>
          </w:p>
        </w:tc>
        <w:tc>
          <w:tcPr>
            <w:tcW w:w="2710" w:type="dxa"/>
            <w:vAlign w:val="center"/>
          </w:tcPr>
          <w:p>
            <w:pPr>
              <w:pStyle w:val="TableText"/>
            </w:pPr>
            <w:r>
              <w:t xml:space="preserve">ModeB出现较大数量时，继续看可选工序分流和外包相关明细。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pStyle w:val="TableText"/>
            </w:pPr>
            <w:r>
              <w:t xml:space="preserve">瓶颈工作中心数</w:t>
            </w:r>
          </w:p>
        </w:tc>
        <w:tc>
          <w:tcPr>
            <w:tcW w:w="3950" w:type="dxa"/>
            <w:vAlign w:val="center"/>
          </w:tcPr>
          <w:p>
            <w:pPr>
              <w:pStyle w:val="TableText"/>
            </w:pPr>
            <w:r>
              <w:t xml:space="preserve">当前模式下至少有一个周期负荷超过产能的工作中心数量。</w:t>
            </w:r>
          </w:p>
        </w:tc>
        <w:tc>
          <w:tcPr>
            <w:tcW w:w="2710" w:type="dxa"/>
            <w:vAlign w:val="center"/>
          </w:tcPr>
          <w:p>
            <w:pPr>
              <w:pStyle w:val="TableText"/>
            </w:pPr>
            <w:r>
              <w:t xml:space="preserve">数量大时，先看重点瓶颈和工作组热力图。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pStyle w:val="TableText"/>
            </w:pPr>
            <w:r>
              <w:t xml:space="preserve">周度/月度产能分析行数</w:t>
            </w:r>
          </w:p>
        </w:tc>
        <w:tc>
          <w:tcPr>
            <w:tcW w:w="3950" w:type="dxa"/>
            <w:vAlign w:val="center"/>
          </w:tcPr>
          <w:p>
            <w:pPr>
              <w:pStyle w:val="TableText"/>
            </w:pPr>
            <w:r>
              <w:t xml:space="preserve">产能分析sheet中的工作中心与周期组合行数。</w:t>
            </w:r>
          </w:p>
        </w:tc>
        <w:tc>
          <w:tcPr>
            <w:tcW w:w="2710" w:type="dxa"/>
            <w:vAlign w:val="center"/>
          </w:tcPr>
          <w:p>
            <w:pPr>
              <w:pStyle w:val="TableText"/>
            </w:pPr>
            <w:r>
              <w:t xml:space="preserve">用于确认报告规模，不代表订单或工序数量。</w:t>
            </w:r>
          </w:p>
        </w:tc>
      </w:tr>
    </w:tbl>
    <w:p>
      <w:pPr>
        <w:pStyle w:val="Heading2"/>
        <w:keepNext/>
      </w:pPr>
      <w:r>
        <w:t xml:space="preserve">4.3 核心指标：ModeB优化结果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750"/>
        <w:gridCol w:w="4020"/>
        <w:gridCol w:w="2590"/>
      </w:tblGrid>
      <w:tr>
        <w:tc>
          <w:tcPr>
            <w:tcW w:w="275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指标</w:t>
            </w:r>
          </w:p>
        </w:tc>
        <w:tc>
          <w:tcPr>
            <w:tcW w:w="402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表示什么</w:t>
            </w:r>
          </w:p>
        </w:tc>
        <w:tc>
          <w:tcPr>
            <w:tcW w:w="259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怎么用</w:t>
            </w:r>
          </w:p>
        </w:tc>
      </w:tr>
      <w:tr>
        <w:tc>
          <w:tcPr>
            <w:tcW w:w="2750" w:type="dxa"/>
            <w:vAlign w:val="center"/>
          </w:tcPr>
          <w:p>
            <w:pPr>
              <w:pStyle w:val="TableText"/>
            </w:pPr>
            <w:r>
              <w:t xml:space="preserve">可选工序分流数</w:t>
            </w:r>
          </w:p>
        </w:tc>
        <w:tc>
          <w:tcPr>
            <w:tcW w:w="4020" w:type="dxa"/>
            <w:vAlign w:val="center"/>
          </w:tcPr>
          <w:p>
            <w:pPr>
              <w:pStyle w:val="TableText"/>
            </w:pPr>
            <w:r>
              <w:t xml:space="preserve">ModeB中实际形成可选工作中心或外包分流的记录数。</w:t>
            </w:r>
          </w:p>
        </w:tc>
        <w:tc>
          <w:tcPr>
            <w:tcW w:w="2590" w:type="dxa"/>
            <w:vAlign w:val="center"/>
          </w:tcPr>
          <w:p>
            <w:pPr>
              <w:pStyle w:val="TableText"/>
            </w:pPr>
            <w:r>
              <w:t xml:space="preserve">数量为0时，可能是没有瓶颈、没有匹配可选路径，或优化后仍选择原路径。</w:t>
            </w:r>
          </w:p>
        </w:tc>
      </w:tr>
      <w:tr>
        <w:tc>
          <w:tcPr>
            <w:tcW w:w="2750" w:type="dxa"/>
            <w:vAlign w:val="center"/>
          </w:tcPr>
          <w:p>
            <w:pPr>
              <w:pStyle w:val="TableText"/>
            </w:pPr>
            <w:r>
              <w:t xml:space="preserve">ModeB整数分配候选工序</w:t>
            </w:r>
          </w:p>
        </w:tc>
        <w:tc>
          <w:tcPr>
            <w:tcW w:w="4020" w:type="dxa"/>
            <w:vAlign w:val="center"/>
          </w:tcPr>
          <w:p>
            <w:pPr>
              <w:pStyle w:val="TableText"/>
            </w:pPr>
            <w:r>
              <w:t xml:space="preserve">具有两个或以上可选路径、交给OR-Tools比较的工序数量。</w:t>
            </w:r>
          </w:p>
        </w:tc>
        <w:tc>
          <w:tcPr>
            <w:tcW w:w="2590" w:type="dxa"/>
            <w:vAlign w:val="center"/>
          </w:tcPr>
          <w:p>
            <w:pPr>
              <w:pStyle w:val="TableText"/>
            </w:pPr>
            <w:r>
              <w:t xml:space="preserve">它反映优化选择规模，不等于全部工序数。</w:t>
            </w:r>
          </w:p>
        </w:tc>
      </w:tr>
      <w:tr>
        <w:tc>
          <w:tcPr>
            <w:tcW w:w="2750" w:type="dxa"/>
            <w:vAlign w:val="center"/>
          </w:tcPr>
          <w:p>
            <w:pPr>
              <w:pStyle w:val="TableText"/>
            </w:pPr>
            <w:r>
              <w:t xml:space="preserve">ModeB整数分配求解状态</w:t>
            </w:r>
          </w:p>
        </w:tc>
        <w:tc>
          <w:tcPr>
            <w:tcW w:w="4020" w:type="dxa"/>
            <w:vAlign w:val="center"/>
          </w:tcPr>
          <w:p>
            <w:pPr>
              <w:pStyle w:val="TableText"/>
            </w:pPr>
            <w:r>
              <w:t xml:space="preserve">OR-Tools本次求解结果。</w:t>
            </w:r>
          </w:p>
        </w:tc>
        <w:tc>
          <w:tcPr>
            <w:tcW w:w="2590" w:type="dxa"/>
            <w:vAlign w:val="center"/>
          </w:tcPr>
          <w:p>
            <w:pPr>
              <w:pStyle w:val="TableText"/>
            </w:pPr>
            <w:r>
              <w:t xml:space="preserve">OPTIMAL表示找到最优结果；FEASIBLE表示找到可用结果；SKIPPED表示本次没有需要求解的候选，并非运行错误。</w:t>
            </w:r>
          </w:p>
        </w:tc>
      </w:tr>
      <w:tr>
        <w:tc>
          <w:tcPr>
            <w:tcW w:w="2750" w:type="dxa"/>
            <w:vAlign w:val="center"/>
          </w:tcPr>
          <w:p>
            <w:pPr>
              <w:pStyle w:val="TableText"/>
            </w:pPr>
            <w:r>
              <w:t xml:space="preserve">ModeB产能缺口改善</w:t>
            </w:r>
          </w:p>
        </w:tc>
        <w:tc>
          <w:tcPr>
            <w:tcW w:w="4020" w:type="dxa"/>
            <w:vAlign w:val="center"/>
          </w:tcPr>
          <w:p>
            <w:pPr>
              <w:pStyle w:val="TableText"/>
            </w:pPr>
            <w:r>
              <w:t xml:space="preserve">优化前缺口减去优化后缺口的小时数。</w:t>
            </w:r>
          </w:p>
        </w:tc>
        <w:tc>
          <w:tcPr>
            <w:tcW w:w="2590" w:type="dxa"/>
            <w:vAlign w:val="center"/>
          </w:tcPr>
          <w:p>
            <w:pPr>
              <w:pStyle w:val="TableText"/>
            </w:pPr>
            <w:r>
              <w:t xml:space="preserve">数值越大，表示可选工序和外包缓解的产能压力越多。</w:t>
            </w:r>
          </w:p>
        </w:tc>
      </w:tr>
      <w:tr>
        <w:tc>
          <w:tcPr>
            <w:tcW w:w="2750" w:type="dxa"/>
            <w:vAlign w:val="center"/>
          </w:tcPr>
          <w:p>
            <w:pPr>
              <w:pStyle w:val="TableText"/>
            </w:pPr>
            <w:r>
              <w:t xml:space="preserve">ModeB剩余产能缺口</w:t>
            </w:r>
          </w:p>
        </w:tc>
        <w:tc>
          <w:tcPr>
            <w:tcW w:w="4020" w:type="dxa"/>
            <w:vAlign w:val="center"/>
          </w:tcPr>
          <w:p>
            <w:pPr>
              <w:pStyle w:val="TableText"/>
            </w:pPr>
            <w:r>
              <w:t xml:space="preserve">可选路径优化后仍超过本周期理论产能的小时数合计。</w:t>
            </w:r>
          </w:p>
        </w:tc>
        <w:tc>
          <w:tcPr>
            <w:tcW w:w="2590" w:type="dxa"/>
            <w:vAlign w:val="center"/>
          </w:tcPr>
          <w:p>
            <w:pPr>
              <w:pStyle w:val="TableText"/>
            </w:pPr>
            <w:r>
              <w:t xml:space="preserve">不为0时继续查看“超产能解决建议”。</w:t>
            </w:r>
          </w:p>
        </w:tc>
      </w:tr>
      <w:tr>
        <w:tc>
          <w:tcPr>
            <w:tcW w:w="2750" w:type="dxa"/>
            <w:vAlign w:val="center"/>
          </w:tcPr>
          <w:p>
            <w:pPr>
              <w:pStyle w:val="TableText"/>
            </w:pPr>
            <w:r>
              <w:t xml:space="preserve">超产能解决建议</w:t>
            </w:r>
          </w:p>
        </w:tc>
        <w:tc>
          <w:tcPr>
            <w:tcW w:w="4020" w:type="dxa"/>
            <w:vAlign w:val="center"/>
          </w:tcPr>
          <w:p>
            <w:pPr>
              <w:pStyle w:val="TableText"/>
            </w:pPr>
            <w:r>
              <w:t xml:space="preserve">报告中针对剩余缺口生成的外包、加班、排班或设备建议记录数。</w:t>
            </w:r>
          </w:p>
        </w:tc>
        <w:tc>
          <w:tcPr>
            <w:tcW w:w="2590" w:type="dxa"/>
            <w:vAlign w:val="center"/>
          </w:tcPr>
          <w:p>
            <w:pPr>
              <w:pStyle w:val="TableText"/>
            </w:pPr>
            <w:r>
              <w:t xml:space="preserve">先按缺口小时降序处理，并结合连续多周期情况判断临时措施或投资。</w:t>
            </w:r>
          </w:p>
        </w:tc>
      </w:tr>
      <w:tr>
        <w:tc>
          <w:tcPr>
            <w:tcW w:w="2750" w:type="dxa"/>
            <w:vAlign w:val="center"/>
          </w:tcPr>
          <w:p>
            <w:pPr>
              <w:pStyle w:val="TableText"/>
            </w:pPr>
            <w:r>
              <w:t xml:space="preserve">ModeB优化周期数</w:t>
            </w:r>
          </w:p>
        </w:tc>
        <w:tc>
          <w:tcPr>
            <w:tcW w:w="4020" w:type="dxa"/>
            <w:vAlign w:val="center"/>
          </w:tcPr>
          <w:p>
            <w:pPr>
              <w:pStyle w:val="TableText"/>
            </w:pPr>
            <w:r>
              <w:t xml:space="preserve">本次ModeB实际分析的周或月数量。</w:t>
            </w:r>
          </w:p>
        </w:tc>
        <w:tc>
          <w:tcPr>
            <w:tcW w:w="2590" w:type="dxa"/>
            <w:vAlign w:val="center"/>
          </w:tcPr>
          <w:p>
            <w:pPr>
              <w:pStyle w:val="TableText"/>
            </w:pPr>
            <w:r>
              <w:t xml:space="preserve">与热力图横向周期范围相互核对。</w:t>
            </w:r>
          </w:p>
        </w:tc>
      </w:tr>
      <w:tr>
        <w:tc>
          <w:tcPr>
            <w:tcW w:w="2750" w:type="dxa"/>
            <w:vAlign w:val="center"/>
          </w:tcPr>
          <w:p>
            <w:pPr>
              <w:pStyle w:val="TableText"/>
            </w:pPr>
            <w:r>
              <w:t xml:space="preserve">ModeB异常周期数</w:t>
            </w:r>
          </w:p>
        </w:tc>
        <w:tc>
          <w:tcPr>
            <w:tcW w:w="4020" w:type="dxa"/>
            <w:vAlign w:val="center"/>
          </w:tcPr>
          <w:p>
            <w:pPr>
              <w:pStyle w:val="TableText"/>
            </w:pPr>
            <w:r>
              <w:t xml:space="preserve">求解状态为失败的周期数量。</w:t>
            </w:r>
          </w:p>
        </w:tc>
        <w:tc>
          <w:tcPr>
            <w:tcW w:w="2590" w:type="dxa"/>
            <w:vAlign w:val="center"/>
          </w:tcPr>
          <w:p>
            <w:pPr>
              <w:pStyle w:val="TableText"/>
            </w:pPr>
            <w:r>
              <w:t xml:space="preserve">大于0时先查看ModeB优化周期明细中的失败说明。</w:t>
            </w:r>
          </w:p>
        </w:tc>
      </w:tr>
    </w:tbl>
    <w:p>
      <w:pPr>
        <w:pStyle w:val="Heading2"/>
        <w:keepNext/>
      </w:pPr>
      <w:r>
        <w:t xml:space="preserve">4.4 核心指标：维护与数据质量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800"/>
        <w:gridCol w:w="4000"/>
        <w:gridCol w:w="2560"/>
      </w:tblGrid>
      <w:tr>
        <w:tc>
          <w:tcPr>
            <w:tcW w:w="280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指标</w:t>
            </w:r>
          </w:p>
        </w:tc>
        <w:tc>
          <w:tcPr>
            <w:tcW w:w="400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表示什么</w:t>
            </w:r>
          </w:p>
        </w:tc>
        <w:tc>
          <w:tcPr>
            <w:tcW w:w="256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怎么用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未维护工作中心工序数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生产工序能读到，但工作中心表中没有对应产能维护的工序数量。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 xml:space="preserve">这些工序保留在报告中，但不进入可选路径查找和正常产能率计算。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未维护工作中心负荷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上述未维护工作中心工序的总负荷小时。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 xml:space="preserve">数值大时优先补充工作中心和日历，否则总产能判断会缺一部分。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占位交期订单数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供给年份为2049年及以后、被识别为占位日期并排除计算的订单数量。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 xml:space="preserve">到“占位交期订单”sheet确认这些订单是否应改成真实交期。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数据质量/调整记录数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本次读取过程中产生的提醒、缺失、跳过和日期调整记录总数。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 xml:space="preserve">它不是全部错误数；应打开数据质量页按“类型”筛选，区分提醒与需维护事项。</w:t>
            </w:r>
          </w:p>
        </w:tc>
      </w:tr>
    </w:tbl>
    <w:p>
      <w:pPr>
        <w:pStyle w:val="Heading2"/>
        <w:keepNext/>
      </w:pPr>
      <w:r>
        <w:t xml:space="preserve">4.5 核心指标：预测需求完整性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3000"/>
        <w:gridCol w:w="3950"/>
        <w:gridCol w:w="2410"/>
      </w:tblGrid>
      <w:tr>
        <w:tc>
          <w:tcPr>
            <w:tcW w:w="300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指标</w:t>
            </w:r>
          </w:p>
        </w:tc>
        <w:tc>
          <w:tcPr>
            <w:tcW w:w="395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表示什么</w:t>
            </w:r>
          </w:p>
        </w:tc>
        <w:tc>
          <w:tcPr>
            <w:tcW w:w="241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怎么用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预测顶层物料数</w:t>
            </w:r>
          </w:p>
        </w:tc>
        <w:tc>
          <w:tcPr>
            <w:tcW w:w="3950" w:type="dxa"/>
            <w:vAlign w:val="center"/>
          </w:tcPr>
          <w:p>
            <w:pPr>
              <w:pStyle w:val="TableText"/>
            </w:pPr>
            <w:r>
              <w:t xml:space="preserve">本次预测表中有正需求、并进入BOM与工艺路线检查的不同顶层物料数量。</w:t>
            </w:r>
          </w:p>
        </w:tc>
        <w:tc>
          <w:tcPr>
            <w:tcW w:w="2410" w:type="dxa"/>
            <w:vAlign w:val="center"/>
          </w:tcPr>
          <w:p>
            <w:pPr>
              <w:pStyle w:val="TableText"/>
            </w:pPr>
            <w:r>
              <w:t xml:space="preserve">作为后续三个缺失数量的对照基数。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预测顶层物料未匹配BOM数</w:t>
            </w:r>
          </w:p>
        </w:tc>
        <w:tc>
          <w:tcPr>
            <w:tcW w:w="3950" w:type="dxa"/>
            <w:vAlign w:val="center"/>
          </w:tcPr>
          <w:p>
            <w:pPr>
              <w:pStyle w:val="TableText"/>
            </w:pPr>
            <w:r>
              <w:t xml:space="preserve">三地BOM均未找到的预测顶层物料种数。</w:t>
            </w:r>
          </w:p>
        </w:tc>
        <w:tc>
          <w:tcPr>
            <w:tcW w:w="2410" w:type="dxa"/>
            <w:vAlign w:val="center"/>
          </w:tcPr>
          <w:p>
            <w:pPr>
              <w:pStyle w:val="TableText"/>
            </w:pPr>
            <w:r>
              <w:t xml:space="preserve">这些物料仍会尝试匹配自身工艺路线；需要BOM完整分析时应补BOM。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预测顶层物料未匹配工艺路线数</w:t>
            </w:r>
          </w:p>
        </w:tc>
        <w:tc>
          <w:tcPr>
            <w:tcW w:w="3950" w:type="dxa"/>
            <w:vAlign w:val="center"/>
          </w:tcPr>
          <w:p>
            <w:pPr>
              <w:pStyle w:val="TableText"/>
            </w:pPr>
            <w:r>
              <w:t xml:space="preserve">三地工艺路线均未找到的预测顶层物料种数。</w:t>
            </w:r>
          </w:p>
        </w:tc>
        <w:tc>
          <w:tcPr>
            <w:tcW w:w="2410" w:type="dxa"/>
            <w:vAlign w:val="center"/>
          </w:tcPr>
          <w:p>
            <w:pPr>
              <w:pStyle w:val="TableText"/>
            </w:pPr>
            <w:r>
              <w:t xml:space="preserve">这些顶层预测物料未生成工序，因此没有进入负荷。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BOM下层制造件未匹配工艺路线数</w:t>
            </w:r>
          </w:p>
        </w:tc>
        <w:tc>
          <w:tcPr>
            <w:tcW w:w="3950" w:type="dxa"/>
            <w:vAlign w:val="center"/>
          </w:tcPr>
          <w:p>
            <w:pPr>
              <w:pStyle w:val="TableText"/>
            </w:pPr>
            <w:r>
              <w:t xml:space="preserve">按“顶层物料+下层M制造件”去重后的缺路线组合数量。</w:t>
            </w:r>
          </w:p>
        </w:tc>
        <w:tc>
          <w:tcPr>
            <w:tcW w:w="2410" w:type="dxa"/>
            <w:vAlign w:val="center"/>
          </w:tcPr>
          <w:p>
            <w:pPr>
              <w:pStyle w:val="TableText"/>
            </w:pPr>
            <w:r>
              <w:t xml:space="preserve">同一M物料出现在不同顶层BOM时可分别计数，便于定位受影响的产品链。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可参与计算的预测虚拟订单数</w:t>
            </w:r>
          </w:p>
        </w:tc>
        <w:tc>
          <w:tcPr>
            <w:tcW w:w="3950" w:type="dxa"/>
            <w:vAlign w:val="center"/>
          </w:tcPr>
          <w:p>
            <w:pPr>
              <w:pStyle w:val="TableText"/>
            </w:pPr>
            <w:r>
              <w:t xml:space="preserve">至少成功生成一道工序并进入分析的预测虚拟订单号数量。</w:t>
            </w:r>
          </w:p>
        </w:tc>
        <w:tc>
          <w:tcPr>
            <w:tcW w:w="2410" w:type="dxa"/>
            <w:vAlign w:val="center"/>
          </w:tcPr>
          <w:p>
            <w:pPr>
              <w:pStyle w:val="TableText"/>
            </w:pPr>
            <w:r>
              <w:t xml:space="preserve">可在订单工序分配明细中按FCST开头的订单号筛选。</w:t>
            </w:r>
          </w:p>
        </w:tc>
      </w:tr>
    </w:tbl>
    <w:p>
      <w:pPr>
        <w:pStyle w:val="Callout"/>
      </w:pPr>
      <w:r>
        <w:rPr>
          <w:b/>
        </w:rPr>
        <w:t xml:space="preserve">回归样例  </w:t>
      </w:r>
      <w:r>
        <w:t xml:space="preserve">当前测试数据中，预测顶层物料数为1,037，未匹配BOM为13，顶层未匹配工艺路线为1,035，BOM下层制造件缺路线组合为479，可参与计算的预测虚拟订单为26。每次运行会根据输入文件重新计算，操作员应以当次报告为准。</w:t>
      </w:r>
    </w:p>
    <w:p>
      <w:pPr>
        <w:pStyle w:val="Heading2"/>
        <w:keepNext/>
      </w:pPr>
      <w:r>
        <w:t xml:space="preserve">4.6 重点瓶颈工作中心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1800"/>
        <w:gridCol w:w="4050"/>
        <w:gridCol w:w="3510"/>
      </w:tblGrid>
      <w:tr>
        <w:tc>
          <w:tcPr>
            <w:tcW w:w="180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405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351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阅读方法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工作中心</w:t>
            </w:r>
          </w:p>
        </w:tc>
        <w:tc>
          <w:tcPr>
            <w:tcW w:w="4050" w:type="dxa"/>
            <w:vAlign w:val="center"/>
          </w:tcPr>
          <w:p>
            <w:pPr>
              <w:pStyle w:val="TableText"/>
            </w:pPr>
            <w:r>
              <w:t xml:space="preserve">需要重点关注的具体工作中心。</w:t>
            </w:r>
          </w:p>
        </w:tc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可复制该名称到周度/月度产能分析中筛选。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期间</w:t>
            </w:r>
          </w:p>
        </w:tc>
        <w:tc>
          <w:tcPr>
            <w:tcW w:w="4050" w:type="dxa"/>
            <w:vAlign w:val="center"/>
          </w:tcPr>
          <w:p>
            <w:pPr>
              <w:pStyle w:val="TableText"/>
            </w:pPr>
            <w:r>
              <w:t xml:space="preserve">发生瓶颈的周或月。</w:t>
            </w:r>
          </w:p>
        </w:tc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周报告显示W周号，月报告显示月份。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日期跨度</w:t>
            </w:r>
          </w:p>
        </w:tc>
        <w:tc>
          <w:tcPr>
            <w:tcW w:w="4050" w:type="dxa"/>
            <w:vAlign w:val="center"/>
          </w:tcPr>
          <w:p>
            <w:pPr>
              <w:pStyle w:val="TableText"/>
            </w:pPr>
            <w:r>
              <w:t xml:space="preserve">该周/月实际包含的起止日期。</w:t>
            </w:r>
          </w:p>
        </w:tc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第一周可能从优化开始日期起算，不一定包含完整7天。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负荷率</w:t>
            </w:r>
          </w:p>
        </w:tc>
        <w:tc>
          <w:tcPr>
            <w:tcW w:w="4050" w:type="dxa"/>
            <w:vAlign w:val="center"/>
          </w:tcPr>
          <w:p>
            <w:pPr>
              <w:pStyle w:val="TableText"/>
            </w:pPr>
            <w:r>
              <w:t xml:space="preserve">负荷小时除以产能小时。</w:t>
            </w:r>
          </w:p>
        </w:tc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100%表示刚好满载，150%表示需求是可用产能的1.5倍。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负荷小时</w:t>
            </w:r>
          </w:p>
        </w:tc>
        <w:tc>
          <w:tcPr>
            <w:tcW w:w="4050" w:type="dxa"/>
            <w:vAlign w:val="center"/>
          </w:tcPr>
          <w:p>
            <w:pPr>
              <w:pStyle w:val="TableText"/>
            </w:pPr>
            <w:r>
              <w:t xml:space="preserve">该工作中心在该周期需要承担的厂内小时。</w:t>
            </w:r>
          </w:p>
        </w:tc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ModeA是原始需求口径；ModeB是优化后厂内口径。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产能小时</w:t>
            </w:r>
          </w:p>
        </w:tc>
        <w:tc>
          <w:tcPr>
            <w:tcW w:w="4050" w:type="dxa"/>
            <w:vAlign w:val="center"/>
          </w:tcPr>
          <w:p>
            <w:pPr>
              <w:pStyle w:val="TableText"/>
            </w:pPr>
            <w:r>
              <w:t xml:space="preserve">按设备数量和工作日历计算的周期理论产能。</w:t>
            </w:r>
          </w:p>
        </w:tc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先确认日历和设备数量维护正确，再使用负荷率判断。</w:t>
            </w:r>
          </w:p>
        </w:tc>
      </w:tr>
    </w:tbl>
    <w:p>
      <w:r>
        <w:t xml:space="preserve">仪表盘“运行判断”中的ModeA和ModeB说明是固定的阅读口径提示，不是本次运行自动生成的结论。</w:t>
      </w:r>
    </w:p>
    <w:p>
      <w:r>
        <w:br w:type="page"/>
      </w:r>
    </w:p>
    <w:p>
      <w:pPr>
        <w:pStyle w:val="Heading1"/>
        <w:keepNext/>
      </w:pPr>
      <w:r>
        <w:t xml:space="preserve">5. 工作组热力图怎么读</w:t>
      </w:r>
    </w:p>
    <w:p>
      <w:r>
        <w:t xml:space="preserve">热力图先按工作中心表E列“大类”分区，再按资源组显示。ModeA的需求工时使用无限产能负荷；ModeB的需求工时使用可选路径优化后的厂内负荷。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200"/>
        <w:gridCol w:w="4000"/>
        <w:gridCol w:w="3160"/>
      </w:tblGrid>
      <w:tr>
        <w:tc>
          <w:tcPr>
            <w:tcW w:w="220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区域</w:t>
            </w:r>
          </w:p>
        </w:tc>
        <w:tc>
          <w:tcPr>
            <w:tcW w:w="400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316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例子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资源组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工作中心表中的资源组分类。</w:t>
            </w:r>
          </w:p>
        </w:tc>
        <w:tc>
          <w:tcPr>
            <w:tcW w:w="3160" w:type="dxa"/>
            <w:vAlign w:val="center"/>
          </w:tcPr>
          <w:p>
            <w:pPr>
              <w:pStyle w:val="TableText"/>
            </w:pPr>
            <w:r>
              <w:t xml:space="preserve">立车KV1000、北京小五轴等。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设备台数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该资源组在工作中心表中维护的设备数量。</w:t>
            </w:r>
          </w:p>
        </w:tc>
        <w:tc>
          <w:tcPr>
            <w:tcW w:w="3160" w:type="dxa"/>
            <w:vAlign w:val="center"/>
          </w:tcPr>
          <w:p>
            <w:pPr>
              <w:pStyle w:val="TableText"/>
            </w:pPr>
            <w:r>
              <w:t xml:space="preserve">显示8，表示该资源组当前维护8台设备。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需求工时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该资源组在各周期需要承担的总工时。</w:t>
            </w:r>
          </w:p>
        </w:tc>
        <w:tc>
          <w:tcPr>
            <w:tcW w:w="3160" w:type="dxa"/>
            <w:vAlign w:val="center"/>
          </w:tcPr>
          <w:p>
            <w:pPr>
              <w:pStyle w:val="TableText"/>
            </w:pPr>
            <w:r>
              <w:t xml:space="preserve">9月需求7,008小时。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理论工时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按设备数量和工作日历得到的资源组可用小时。</w:t>
            </w:r>
          </w:p>
        </w:tc>
        <w:tc>
          <w:tcPr>
            <w:tcW w:w="3160" w:type="dxa"/>
            <w:vAlign w:val="center"/>
          </w:tcPr>
          <w:p>
            <w:pPr>
              <w:pStyle w:val="TableText"/>
            </w:pPr>
            <w:r>
              <w:t xml:space="preserve">8台设备合计理论工时5,376小时。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负荷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需求工时除以理论工时。</w:t>
            </w:r>
          </w:p>
        </w:tc>
        <w:tc>
          <w:tcPr>
            <w:tcW w:w="3160" w:type="dxa"/>
            <w:vAlign w:val="center"/>
          </w:tcPr>
          <w:p>
            <w:pPr>
              <w:pStyle w:val="TableText"/>
            </w:pPr>
            <w:r>
              <w:t xml:space="preserve">7,008÷5,376≈130%，表示超过理论产能约30%。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设备需求数量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在相同日历和单台能力下，满足需求所需的设备总台数，结果向上取整。</w:t>
            </w:r>
          </w:p>
        </w:tc>
        <w:tc>
          <w:tcPr>
            <w:tcW w:w="3160" w:type="dxa"/>
            <w:vAlign w:val="center"/>
          </w:tcPr>
          <w:p>
            <w:pPr>
              <w:pStyle w:val="TableText"/>
            </w:pPr>
            <w:r>
              <w:t xml:space="preserve">单台672小时，7,008÷672≈10.43，向上取整为11台；当前8台，说明还差约3台等效能力。</w:t>
            </w:r>
          </w:p>
        </w:tc>
      </w:tr>
    </w:tbl>
    <w:p>
      <w:pPr>
        <w:pStyle w:val="Heading2"/>
        <w:keepNext/>
      </w:pPr>
      <w:r>
        <w:t xml:space="preserve">5.1 颜色规则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100"/>
        <w:gridCol w:w="1800"/>
        <w:gridCol w:w="5460"/>
      </w:tblGrid>
      <w:tr>
        <w:tc>
          <w:tcPr>
            <w:tcW w:w="210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负荷范围</w:t>
            </w:r>
          </w:p>
        </w:tc>
        <w:tc>
          <w:tcPr>
            <w:tcW w:w="180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颜色</w:t>
            </w:r>
          </w:p>
        </w:tc>
        <w:tc>
          <w:tcPr>
            <w:tcW w:w="546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操作提示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0%至25%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深绿色</w:t>
            </w:r>
          </w:p>
        </w:tc>
        <w:tc>
          <w:tcPr>
            <w:tcW w:w="5460" w:type="dxa"/>
            <w:vAlign w:val="center"/>
          </w:tcPr>
          <w:p>
            <w:pPr>
              <w:pStyle w:val="TableText"/>
            </w:pPr>
            <w:r>
              <w:t xml:space="preserve">资源余量较多，可关注是否具备承接分流的条件。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大于25%至75%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浅绿色</w:t>
            </w:r>
          </w:p>
        </w:tc>
        <w:tc>
          <w:tcPr>
            <w:tcW w:w="5460" w:type="dxa"/>
            <w:vAlign w:val="center"/>
          </w:tcPr>
          <w:p>
            <w:pPr>
              <w:pStyle w:val="TableText"/>
            </w:pPr>
            <w:r>
              <w:t xml:space="preserve">处于可用区间，继续结合未来周期观察。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大于75%至100%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浅红色</w:t>
            </w:r>
          </w:p>
        </w:tc>
        <w:tc>
          <w:tcPr>
            <w:tcW w:w="5460" w:type="dxa"/>
            <w:vAlign w:val="center"/>
          </w:tcPr>
          <w:p>
            <w:pPr>
              <w:pStyle w:val="TableText"/>
            </w:pPr>
            <w:r>
              <w:t xml:space="preserve">接近满载，新增需求前应复核。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超过100%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深红色</w:t>
            </w:r>
          </w:p>
        </w:tc>
        <w:tc>
          <w:tcPr>
            <w:tcW w:w="5460" w:type="dxa"/>
            <w:vAlign w:val="center"/>
          </w:tcPr>
          <w:p>
            <w:pPr>
              <w:pStyle w:val="TableText"/>
            </w:pPr>
            <w:r>
              <w:t xml:space="preserve">需求超过理论产能，需要分流、外包、排班或设备措施。</w:t>
            </w:r>
          </w:p>
        </w:tc>
      </w:tr>
    </w:tbl>
    <w:p>
      <w:pPr>
        <w:pStyle w:val="Callout"/>
      </w:pPr>
      <w:r>
        <w:rPr>
          <w:b/>
        </w:rPr>
        <w:t xml:space="preserve">阅读顺序  </w:t>
      </w:r>
      <w:r>
        <w:t xml:space="preserve">先看深红色周期，再看设备需求数量与当前设备台数的差额，最后回到周度/月度产能分析定位具体工作中心，并在订单工序分配明细中找出贡献负荷的订单。</w:t>
      </w:r>
    </w:p>
    <w:p>
      <w:pPr>
        <w:pStyle w:val="Heading1"/>
        <w:keepNext/>
      </w:pPr>
      <w:r>
        <w:t xml:space="preserve">6. 订单工序分配明细中的BOM字段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300"/>
        <w:gridCol w:w="4200"/>
        <w:gridCol w:w="2860"/>
      </w:tblGrid>
      <w:tr>
        <w:tc>
          <w:tcPr>
            <w:tcW w:w="230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420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286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使用示例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BOM根订单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同一条预测BOM链共享的顶层预测虚拟订单号。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筛选一个BOM根订单，可一起查看顶层物料和全部可计算下层制造件。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BOM顶层物料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需求预测表中最上层的物料。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不论当前行是顶层还是M制造件，该字段都保持顶层物料号。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BOM来源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本次使用的BOM地区来源。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显示北京、沈阳、南通或未找到BOM。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BOM来源文件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实际匹配到的BOM文件路径。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用于追溯应维护哪一份BOM。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BOM层级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当前制造物料在BOM中的层级；0表示顶层。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层级越深的制造件越早准备。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BOM父项物料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当前制造件所关联的上级制造件集合。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用于理解当前件完成后支持哪些上层制造件。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BOM直接父项物料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BOM表中与当前物料直接相连的父项物料。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用于检查直接装配或投料关系。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BOM精确需求数量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按BOM用量计算、向上取整前的需求数量。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精确需求12.4件时，实际制造分析数量按13件进入。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BOM齐套需求日期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下层制造件需要完成、以便上层物料开始的日期。</w:t>
            </w:r>
          </w:p>
        </w:tc>
        <w:tc>
          <w:tcPr>
            <w:tcW w:w="2860" w:type="dxa"/>
            <w:vAlign w:val="center"/>
          </w:tcPr>
          <w:p>
            <w:pPr>
              <w:pStyle w:val="TableText"/>
            </w:pPr>
            <w:r>
              <w:t xml:space="preserve">用于判断下层制造件是否在父项开始前齐套。</w:t>
            </w:r>
          </w:p>
        </w:tc>
      </w:tr>
    </w:tbl>
    <w:p>
      <w:pPr>
        <w:pStyle w:val="Callout"/>
      </w:pPr>
      <w:r>
        <w:rPr>
          <w:b/>
        </w:rPr>
        <w:t xml:space="preserve">筛选技巧  </w:t>
      </w:r>
      <w:r>
        <w:t xml:space="preserve">预测虚拟订单号以FCST开头。先筛选BOM根订单，再按BOM层级从大到小、活动号从小到大查看，可以更快理解下层制造件到顶层物料的产能链。</w:t>
      </w:r>
    </w:p>
    <w:p>
      <w:pPr>
        <w:pStyle w:val="Heading1"/>
        <w:keepNext/>
      </w:pPr>
      <w:r>
        <w:t xml:space="preserve">7. 常见情况与处理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800"/>
        <w:gridCol w:w="3600"/>
        <w:gridCol w:w="2960"/>
      </w:tblGrid>
      <w:tr>
        <w:tc>
          <w:tcPr>
            <w:tcW w:w="280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看到的情况</w:t>
            </w:r>
          </w:p>
        </w:tc>
        <w:tc>
          <w:tcPr>
            <w:tcW w:w="360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表示什么</w:t>
            </w:r>
          </w:p>
        </w:tc>
        <w:tc>
          <w:tcPr>
            <w:tcW w:w="2960" w:type="dxa"/>
            <w:vAlign w:val="center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处理建议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预测缺失数较大，但工具运行完成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预测数据缺口采用记录并跳过的方式，没有影响其他可计算数据。</w:t>
            </w:r>
          </w:p>
        </w:tc>
        <w:tc>
          <w:tcPr>
            <w:tcW w:w="2960" w:type="dxa"/>
            <w:vAlign w:val="center"/>
          </w:tcPr>
          <w:p>
            <w:pPr>
              <w:pStyle w:val="TableText"/>
            </w:pPr>
            <w:r>
              <w:t xml:space="preserve">先在数据质量页按缺失类型筛选，再安排BOM或工艺路线补充。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可参与计算的预测虚拟订单数明显偏少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多数预测物料没有匹配到工艺路线，或预测月份没有正需求。</w:t>
            </w:r>
          </w:p>
        </w:tc>
        <w:tc>
          <w:tcPr>
            <w:tcW w:w="2960" w:type="dxa"/>
            <w:vAlign w:val="center"/>
          </w:tcPr>
          <w:p>
            <w:pPr>
              <w:pStyle w:val="TableText"/>
            </w:pPr>
            <w:r>
              <w:t xml:space="preserve">优先核对三地工艺路线的物料编码和Data sheet。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资源组显示“未分类”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工作中心表E列大类为空。</w:t>
            </w:r>
          </w:p>
        </w:tc>
        <w:tc>
          <w:tcPr>
            <w:tcW w:w="2960" w:type="dxa"/>
            <w:vAlign w:val="center"/>
          </w:tcPr>
          <w:p>
            <w:pPr>
              <w:pStyle w:val="TableText"/>
            </w:pPr>
            <w:r>
              <w:t xml:space="preserve">补充大类后重新运行。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资源组显示“大类冲突”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同一资源组下的工作中心维护了不同大类。</w:t>
            </w:r>
          </w:p>
        </w:tc>
        <w:tc>
          <w:tcPr>
            <w:tcW w:w="2960" w:type="dxa"/>
            <w:vAlign w:val="center"/>
          </w:tcPr>
          <w:p>
            <w:pPr>
              <w:pStyle w:val="TableText"/>
            </w:pPr>
            <w:r>
              <w:t xml:space="preserve">确认资源组归属，统一大类或拆分资源组。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ModeB求解状态为SKIPPED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没有瓶颈、没有可参与优化的工序，或瓶颈工序没有可选候选。</w:t>
            </w:r>
          </w:p>
        </w:tc>
        <w:tc>
          <w:tcPr>
            <w:tcW w:w="2960" w:type="dxa"/>
            <w:vAlign w:val="center"/>
          </w:tcPr>
          <w:p>
            <w:pPr>
              <w:pStyle w:val="TableText"/>
            </w:pPr>
            <w:r>
              <w:t xml:space="preserve">这不是报错；结合状态说明和可选工序分流数判断是否需要维护可选路径。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热力图设备需求数量显示“产能未维护”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缺少设备数量、日历或可用产能。</w:t>
            </w:r>
          </w:p>
        </w:tc>
        <w:tc>
          <w:tcPr>
            <w:tcW w:w="2960" w:type="dxa"/>
            <w:vAlign w:val="center"/>
          </w:tcPr>
          <w:p>
            <w:pPr>
              <w:pStyle w:val="TableText"/>
            </w:pPr>
            <w:r>
              <w:t xml:space="preserve">补全工作中心设备数量和日历映射。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未维护工作中心负荷不为0</w:t>
            </w:r>
          </w:p>
        </w:tc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部分工序的工作中心没有产能主数据。</w:t>
            </w:r>
          </w:p>
        </w:tc>
        <w:tc>
          <w:tcPr>
            <w:tcW w:w="2960" w:type="dxa"/>
            <w:vAlign w:val="center"/>
          </w:tcPr>
          <w:p>
            <w:pPr>
              <w:pStyle w:val="TableText"/>
            </w:pPr>
            <w:r>
              <w:t xml:space="preserve">在工作中心表补充对应工作中心后重新运行，避免低估总压力。</w:t>
            </w:r>
          </w:p>
        </w:tc>
      </w:tr>
    </w:tbl>
    <w:p>
      <w:pPr>
        <w:pStyle w:val="Heading1"/>
        <w:keepNext/>
      </w:pPr>
      <w:r>
        <w:t xml:space="preserve">8. 每次运行前检查清单</w:t>
      </w:r>
    </w:p>
    <w:p>
      <w:pPr>
        <w:pStyle w:val="ListBullet"/>
        <w:numPr>
          <w:ilvl w:val="0"/>
          <w:numId w:val="1"/>
        </w:numPr>
      </w:pPr>
      <w:r>
        <w:t xml:space="preserve">确认输入文件已保存并关闭，避免Excel锁定或读取到未保存版本。</w:t>
      </w:r>
    </w:p>
    <w:p>
      <w:pPr>
        <w:pStyle w:val="ListBullet"/>
        <w:numPr>
          <w:ilvl w:val="0"/>
          <w:numId w:val="1"/>
        </w:numPr>
      </w:pPr>
      <w:r>
        <w:t xml:space="preserve">确认订单号和物料号保持文本格式，没有科学计数法或末尾精度丢失。</w:t>
      </w:r>
    </w:p>
    <w:p>
      <w:pPr>
        <w:pStyle w:val="ListBullet"/>
        <w:numPr>
          <w:ilvl w:val="0"/>
          <w:numId w:val="1"/>
        </w:numPr>
      </w:pPr>
      <w:r>
        <w:t xml:space="preserve">确认优化开始日期是本次希望使用的日期。</w:t>
      </w:r>
    </w:p>
    <w:p>
      <w:pPr>
        <w:pStyle w:val="ListBullet"/>
        <w:numPr>
          <w:ilvl w:val="0"/>
          <w:numId w:val="1"/>
        </w:numPr>
      </w:pPr>
      <w:r>
        <w:t xml:space="preserve">需要预测时确认已勾选“需求预测导入”，预测文件路径不为空。</w:t>
      </w:r>
    </w:p>
    <w:p>
      <w:pPr>
        <w:pStyle w:val="ListBullet"/>
        <w:numPr>
          <w:ilvl w:val="0"/>
          <w:numId w:val="1"/>
        </w:numPr>
      </w:pPr>
      <w:r>
        <w:t xml:space="preserve">确认三份BOM和三份工艺路线文件名、Data sheet名称未被修改。</w:t>
      </w:r>
    </w:p>
    <w:p>
      <w:pPr>
        <w:pStyle w:val="ListBullet"/>
        <w:numPr>
          <w:ilvl w:val="0"/>
          <w:numId w:val="1"/>
        </w:numPr>
      </w:pPr>
      <w:r>
        <w:t xml:space="preserve">确认工作中心E列“大类”、资源组、设备数量和日历名称已维护。</w:t>
      </w:r>
    </w:p>
    <w:p>
      <w:pPr>
        <w:pStyle w:val="ListBullet"/>
        <w:numPr>
          <w:ilvl w:val="0"/>
          <w:numId w:val="1"/>
        </w:numPr>
      </w:pPr>
      <w:r>
        <w:t xml:space="preserve">先运行ModeA确认原始压力，再运行ModeB评估可选工序和外包改善。</w:t>
      </w:r>
    </w:p>
    <w:p>
      <w:pPr>
        <w:pStyle w:val="ListBullet"/>
        <w:numPr>
          <w:ilvl w:val="0"/>
          <w:numId w:val="1"/>
        </w:numPr>
      </w:pPr>
      <w:r>
        <w:t xml:space="preserve">报告生成后先看仪表盘中的数据质量、预测完整性和异常周期，再阅读热力图。</w:t>
      </w:r>
    </w:p>
    <w:p>
      <w:pPr>
        <w:pStyle w:val="Callout"/>
      </w:pPr>
      <w:r>
        <w:rPr>
          <w:b/>
        </w:rPr>
        <w:t xml:space="preserve">版本确认  </w:t>
      </w:r>
      <w:r>
        <w:t xml:space="preserve">GUI标题和报告“运行信息”sheet中的工具版本应显示0.1.7。若不是，请确认启动的是本次发布包中的FortuneBJOptimizer.exe。</w:t>
      </w:r>
    </w:p>
    <w:sectPr>
      <w:headerReference w:type="default" r:id="rId4"/>
      <w:footerReference w:type="default" r:id="rId5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  <w:spacing w:after="0"/>
    </w:pPr>
    <w:r>
      <w:rPr>
        <w:rFonts w:ascii="Calibri" w:hAnsi="Calibri" w:eastAsia="Microsoft YaHei"/>
        <w:sz w:val="18"/>
        <w:color w:val="6B7280"/>
      </w:rPr>
      <w:t xml:space="preserve">v0.1.7  |  第 </w:t>
    </w:r>
    <w:fldSimple w:instr=" PAGE ">
      <w:r>
        <w:rPr>
          <w:sz w:val="18"/>
          <w:color w:val="6B7280"/>
        </w:rPr>
        <w:t>1</w:t>
      </w:r>
    </w:fldSimple>
    <w:r>
      <w:rPr>
        <w:sz w:val="18"/>
        <w:color w:val="6B7280"/>
      </w:rPr>
      <w:t> 页</w:t>
    </w:r>
  </w:p>
</w:ftr>
</file>

<file path=word/header1.xml><?xml version="1.0" encoding="utf-8"?>
<w:hdr xmlns:w="http://schemas.openxmlformats.org/wordprocessingml/2006/main">
  <w:p>
    <w:pPr>
      <w:jc w:val="right"/>
      <w:spacing w:after="0"/>
    </w:pPr>
    <w:r>
      <w:rPr>
        <w:rFonts w:ascii="Calibri" w:hAnsi="Calibri" w:eastAsia="Microsoft YaHei"/>
        <w:sz w:val="18"/>
        <w:color w:val="6B7280"/>
      </w:rPr>
      <w:t>Fortune BJ 产能优化工具 | 操作员指引</w:t>
    </w:r>
  </w:p>
</w:hdr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">
    <w:abstractNumId w:val="1"/>
  </w: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</w:rPr>
    </w:rPrDefault>
  </w:docDefaults>
  <w:style w:type="paragraph" w:default="1" w:styleId="Normal">
    <w:name w:val="Normal"/>
    <w:pPr>
      <w:spacing w:after="120" w:line="300" w:lineRule="auto"/>
    </w:pPr>
    <w:rPr>
      <w:rFonts w:ascii="Calibri" w:hAnsi="Calibri" w:eastAsia="Microsoft YaHei"/>
      <w:sz w:val="22"/>
      <w:color w:val="202020"/>
    </w:rPr>
  </w:style>
  <w:style w:type="paragraph" w:styleId="Kicker">
    <w:name w:val="Kicker"/>
    <w:basedOn w:val="Normal"/>
    <w:pPr>
      <w:spacing w:before="160" w:after="40"/>
    </w:pPr>
    <w:rPr>
      <w:rFonts w:ascii="Calibri" w:hAnsi="Calibri" w:eastAsia="Microsoft YaHei"/>
      <w:b/>
      <w:caps/>
      <w:sz w:val="20"/>
      <w:color w:val="2E74B5"/>
    </w:rPr>
  </w:style>
  <w:style w:type="paragraph" w:styleId="Title">
    <w:name w:val="Title"/>
    <w:basedOn w:val="Normal"/>
    <w:pPr>
      <w:spacing w:after="90"/>
    </w:pPr>
    <w:rPr>
      <w:rFonts w:ascii="Calibri" w:hAnsi="Calibri" w:eastAsia="Microsoft YaHei"/>
      <w:b/>
      <w:sz w:val="50"/>
      <w:color w:val="1F4D78"/>
    </w:rPr>
  </w:style>
  <w:style w:type="paragraph" w:styleId="Subtitle">
    <w:name w:val="Subtitle"/>
    <w:basedOn w:val="Normal"/>
    <w:pPr>
      <w:spacing w:after="240" w:line="280" w:lineRule="auto"/>
    </w:pPr>
    <w:rPr>
      <w:rFonts w:ascii="Calibri" w:hAnsi="Calibri" w:eastAsia="Microsoft YaHei"/>
      <w:sz w:val="25"/>
      <w:color w:val="555555"/>
    </w:rPr>
  </w:style>
  <w:style w:type="paragraph" w:styleId="Heading1">
    <w:name w:val="heading 1"/>
    <w:basedOn w:val="Normal"/>
    <w:next w:val="Normal"/>
    <w:pPr>
      <w:keepNext/>
      <w:spacing w:before="360" w:after="200"/>
      <w:outlineLvl w:val="0"/>
    </w:pPr>
    <w:rPr>
      <w:rFonts w:ascii="Calibri" w:hAnsi="Calibri" w:eastAsia="Microsoft YaHei"/>
      <w:b/>
      <w:sz w:val="32"/>
      <w:color w:val="2E74B5"/>
    </w:rPr>
  </w:style>
  <w:style w:type="paragraph" w:styleId="Heading2">
    <w:name w:val="heading 2"/>
    <w:basedOn w:val="Normal"/>
    <w:next w:val="Normal"/>
    <w:pPr>
      <w:keepNext/>
      <w:spacing w:before="280" w:after="140"/>
      <w:outlineLvl w:val="1"/>
    </w:pPr>
    <w:rPr>
      <w:rFonts w:ascii="Calibri" w:hAnsi="Calibri" w:eastAsia="Microsoft YaHei"/>
      <w:b/>
      <w:sz w:val="26"/>
      <w:color w:val="2E74B5"/>
    </w:rPr>
  </w:style>
  <w:style w:type="paragraph" w:styleId="ListBullet">
    <w:name w:val="List Bullet"/>
    <w:basedOn w:val="Normal"/>
    <w:pPr>
      <w:spacing w:after="80" w:line="300" w:lineRule="auto"/>
      <w:ind w:left="540" w:hanging="270"/>
    </w:pPr>
    <w:rPr>
      <w:rFonts w:ascii="Calibri" w:hAnsi="Calibri" w:eastAsia="Microsoft YaHei"/>
      <w:sz w:val="22"/>
    </w:rPr>
  </w:style>
  <w:style w:type="paragraph" w:styleId="ListNumber">
    <w:name w:val="List Number"/>
    <w:basedOn w:val="Normal"/>
    <w:pPr>
      <w:spacing w:after="80" w:line="300" w:lineRule="auto"/>
      <w:ind w:left="540" w:hanging="270"/>
    </w:pPr>
    <w:rPr>
      <w:rFonts w:ascii="Calibri" w:hAnsi="Calibri" w:eastAsia="Microsoft YaHei"/>
      <w:sz w:val="22"/>
    </w:rPr>
  </w:style>
  <w:style w:type="paragraph" w:styleId="Callout">
    <w:name w:val="Callout"/>
    <w:basedOn w:val="Normal"/>
    <w:pPr>
      <w:spacing w:before="100" w:after="160" w:line="300" w:lineRule="auto"/>
      <w:shd w:fill="F4F6F9"/>
      <w:ind w:left="160" w:right="160"/>
    </w:pPr>
    <w:rPr>
      <w:rFonts w:ascii="Calibri" w:hAnsi="Calibri" w:eastAsia="Microsoft YaHei"/>
      <w:sz w:val="22"/>
      <w:color w:val="1F3A5F"/>
    </w:rPr>
  </w:style>
  <w:style w:type="paragraph" w:styleId="TableText">
    <w:name w:val="Table Text"/>
    <w:basedOn w:val="Normal"/>
    <w:pPr>
      <w:spacing w:after="20" w:line="260" w:lineRule="auto"/>
    </w:pPr>
    <w:rPr>
      <w:rFonts w:ascii="Calibri" w:hAnsi="Calibri" w:eastAsia="Microsoft YaHei"/>
      <w:sz w:val="20"/>
      <w:color w:val="202020"/>
    </w:rPr>
  </w:style>
  <w:style w:type="table" w:styleId="TableGrid">
    <w:name w:val="Table Grid"/>
    <w:tblPr>
      <w:tblBorders>
        <w:top w:val="single" w:sz="4" w:space="0" w:color="B7C4D0"/>
        <w:left w:val="single" w:sz="4" w:space="0" w:color="B7C4D0"/>
        <w:bottom w:val="single" w:sz="4" w:space="0" w:color="B7C4D0"/>
        <w:right w:val="single" w:sz="4" w:space="0" w:color="B7C4D0"/>
        <w:insideH w:val="single" w:sz="4" w:space="0" w:color="D7DEE5"/>
        <w:insideV w:val="single" w:sz="4" w:space="0" w:color="D7DEE5"/>
      </w:tblBorders>
      <w:tblCellMar>
        <w:top w:w="80" w:type="dxa"/>
        <w:start w:w="120" w:type="dxa"/>
        <w:bottom w:w="80" w:type="dxa"/>
        <w:end w:w="12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