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Fortune BJ 产能优化工具客户使用与报告阅读说明</w:t>
      </w:r>
    </w:p>
    <w:p>
      <w:pPr>
        <w:pStyle w:val="Subtitle"/>
      </w:pPr>
      <w:r>
        <w:t xml:space="preserve">适用对象：计划、生产、工艺、设备、外协和管理人员</w:t>
      </w:r>
    </w:p>
    <w:p>
      <w:pPr>
        <w:pStyle w:val="Subtitle"/>
      </w:pPr>
      <w:r>
        <w:t xml:space="preserve">版本：CN V06 | 对应工具版本：v0.1.3 | 更新日期：2026-07-27</w:t>
      </w:r>
    </w:p>
    <w:p>
      <w:pPr>
        <w:pStyle w:val="Callout"/>
      </w:pPr>
      <w:r>
        <w:t xml:space="preserve">这份说明面向工具使用人，只说明输入文件怎么维护、工具怎么运行、报告怎么看。工具输出用于产能分析、资源分流和改善建议，不作为车间逐小时执行排程单。</w:t>
      </w:r>
    </w:p>
    <w:p>
      <w:pPr>
        <w:pStyle w:val="Heading1"/>
      </w:pPr>
      <w:r>
        <w:t xml:space="preserve">1. 这套工具用来做什么</w:t>
      </w:r>
    </w:p>
    <w:p>
      <w:r>
        <w:t xml:space="preserve">工具把订单需求、生产订单工序、工作中心、工作日历和可选工序放在一起，生成周度或月度产能报告。客户可以用它回答以下问题。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3200"/>
        <w:gridCol w:w="38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客户问题</w:t>
            </w:r>
          </w:p>
        </w:tc>
        <w:tc>
          <w:tcPr>
            <w:tcW w:w="3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用工具看什么</w:t>
            </w:r>
          </w:p>
        </w:tc>
        <w:tc>
          <w:tcPr>
            <w:tcW w:w="3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哪些工作组或工作中心最忙？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看工作组热力图、周度/月度产能分析、瓶颈分析。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北京立加在W30显示红色，并且负荷率高于100%，说明这周压力集中。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某个订单的每道工序被放到哪里？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看订单工序分配明细。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筛选订单号后，可以看到活动10、20、30分别对应哪个工作中心。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ModeB优化后有没有分流？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看订单工序分配明细和可选工序分流分析。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同一活动出现多行，2件保留原工作中心，3件转可选工作中心。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仍然超产能时怎么办？</w:t>
            </w:r>
          </w:p>
        </w:tc>
        <w:tc>
          <w:tcPr>
            <w:tcW w:w="3200" w:type="dxa"/>
            <w:vAlign w:val="top"/>
          </w:tcPr>
          <w:p>
            <w:pPr>
              <w:pStyle w:val="TableText"/>
            </w:pPr>
            <w:r>
              <w:t xml:space="preserve">看100%产能优化总览和超产能解决建议。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某工作中心W30仍有缺口，建议页会给出外包、加班或设备方向。</w:t>
            </w:r>
          </w:p>
        </w:tc>
      </w:tr>
    </w:tbl>
    <w:p>
      <w:pPr>
        <w:pStyle w:val="Heading1"/>
      </w:pPr>
      <w:r>
        <w:t xml:space="preserve">2. 使用前准备</w:t>
      </w:r>
    </w:p>
    <w:p>
      <w:r>
        <w:t xml:space="preserve">运行前只需要维护“数据导入”文件夹。工具不会再从其他文件夹重新抽取或覆盖数据源。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600"/>
        <w:gridCol w:w="3900"/>
        <w:gridCol w:w="2860"/>
      </w:tblGrid>
      <w:tr>
        <w:tc>
          <w:tcPr>
            <w:tcW w:w="26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文件</w:t>
            </w:r>
          </w:p>
        </w:tc>
        <w:tc>
          <w:tcPr>
            <w:tcW w:w="39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客户维护什么</w:t>
            </w:r>
          </w:p>
        </w:tc>
        <w:tc>
          <w:tcPr>
            <w:tcW w:w="2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使用例子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订单交期数量_产能分析输入模板.xlsx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维护订单号、需求数量、供给日期、紧急类型。订单号请保持文本格式。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订单1000001数量5，供给日期2026-07-20，紧急类型填写T-14。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生产订单工序_排产输入模板.csv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维护每个订单的物料、活动、工序短文本和标准工时。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订单1000001有活动10、20、30，每行都有工序短文本。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工作中心_排产输入模板.xlsx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维护工作中心、工作组、设备数量、日历名称；热处/表处专用模式下还可维护炉子或流水线参数。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三轴立加数量2，资源组分类为北京立加，日历名称为7天24小时。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工作日历_排产输入模板.xlsx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维护每种日历每天工作多少小时、每周工作几天。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7天24小时日历：每天24小时，每周7天。</w:t>
            </w:r>
          </w:p>
        </w:tc>
      </w:tr>
      <w:t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>可选工序_排产输入模板.xlsx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维护物料和活动的可选工作中心，或维护外包路径；可选单位工时可填写真实工时，也可留空让工具参考生产订单工序补齐。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物料A活动20可选北京小五轴；外包行把可选资源组分类填为外包，单位工时不用填。</w:t>
            </w:r>
          </w:p>
        </w:tc>
      </w:tr>
    </w:tbl>
    <w:p>
      <w:pPr>
        <w:pStyle w:val="Callout"/>
      </w:pPr>
      <w:r>
        <w:t xml:space="preserve">建议客户每次运行前先关闭正在编辑的输入文件。Excel打开状态下保存不完整，可能导致工具读取到旧数据或临时文件。</w:t>
      </w:r>
    </w:p>
    <w:p>
      <w:pPr>
        <w:pStyle w:val="Heading2"/>
      </w:pPr>
      <w:r>
        <w:t xml:space="preserve">2.1 紧急类型怎么填</w:t>
      </w:r>
    </w:p>
    <w:p>
      <w:r>
        <w:t xml:space="preserve">紧急类型在订单交期数量表中维护。空白表示普通订单。可填写的紧急类型只有四种。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800"/>
        <w:gridCol w:w="7560"/>
      </w:tblGrid>
      <w:tr>
        <w:tc>
          <w:tcPr>
            <w:tcW w:w="18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紧急类型</w:t>
            </w:r>
          </w:p>
        </w:tc>
        <w:tc>
          <w:tcPr>
            <w:tcW w:w="75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使用场景示例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越库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需要最快处理的越库订单。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T-14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按T-14规则需要优先关注的订单。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RTM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RTM相关订单。</w:t>
            </w:r>
          </w:p>
        </w:tc>
      </w:tr>
      <w:tr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>临时加急</w:t>
            </w:r>
          </w:p>
        </w:tc>
        <w:tc>
          <w:tcPr>
            <w:tcW w:w="7560" w:type="dxa"/>
            <w:vAlign w:val="top"/>
          </w:tcPr>
          <w:p>
            <w:pPr>
              <w:pStyle w:val="TableText"/>
            </w:pPr>
            <w:r>
              <w:t xml:space="preserve">临时被业务或客户要求加急的订单。</w:t>
            </w:r>
          </w:p>
        </w:tc>
      </w:tr>
    </w:tbl>
    <w:p>
      <w:r>
        <w:t xml:space="preserve">示例：订单A填“越库”，订单B填“T-14”，订单C不填。运行时，报告会把这些订单的紧急类型带到订单工序分配明细中，方便筛选和追溯。</w:t>
      </w:r>
    </w:p>
    <w:p>
      <w:pPr>
        <w:pStyle w:val="Heading2"/>
      </w:pPr>
      <w:r>
        <w:t xml:space="preserve">2.2 可选工序怎么维护</w:t>
      </w:r>
    </w:p>
    <w:p>
      <w:r>
        <w:t xml:space="preserve">可选工序表用于告诉工具：某个物料的某道活动，除了原工作中心以外，还可以选择哪些厂内资源或外包资源。客户维护时重点确认物料、活动、可选工作中心、可选资源组分类和可选单位工时。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200"/>
        <w:gridCol w:w="28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维护场景</w:t>
            </w:r>
          </w:p>
        </w:tc>
        <w:tc>
          <w:tcPr>
            <w:tcW w:w="4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怎么填写</w:t>
            </w:r>
          </w:p>
        </w:tc>
        <w:tc>
          <w:tcPr>
            <w:tcW w:w="2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使用例子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可选厂内工作中心，已知真实工时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填写可选工作中心、可选资源组分类和可选单位工时。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物料M0106-006081活动20可选PRO-800-FIU，真实工时13.961小时/件，就填写13.961。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可选厂内工作中心，希望沿用原工时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可选单位工时保持空白。工具会在报告中标记该工时来源，方便复核。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物料A活动20原工时为8小时/件，可选工序工时留空，报告中显示单位工时来源为从生产订单工序继承。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可选工时暂时只是占位数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不要填1或0作为占位。需要自动补齐时请留空；需要指定真实工时时请直接填真实数值。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如果填1，报告会按1小时/件计算；如果这不是实际工时，应清空或改成真实工时。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外包路径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可选资源组分类填写外包；可选工作中心和单位工时可以不填。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物料A活动20可外包，资源组分类填外包，报告会把外包行作为不占厂内产能的路径。</w:t>
            </w:r>
          </w:p>
        </w:tc>
      </w:tr>
    </w:tbl>
    <w:p>
      <w:pPr>
        <w:pStyle w:val="Callout"/>
      </w:pPr>
      <w:r>
        <w:t xml:space="preserve">如果可选单位工时留空，但生产订单工序里找不到相同物料和活动的工时，工具会生成校验报告并停止运行。客户按校验报告补齐可选单位工时或源工序工时后，再重新运行。</w:t>
      </w:r>
    </w:p>
    <w:p>
      <w:pPr>
        <w:pStyle w:val="Heading1"/>
      </w:pPr>
      <w:r>
        <w:t xml:space="preserve">3. 怎么运行工具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800"/>
        <w:gridCol w:w="3600"/>
        <w:gridCol w:w="4960"/>
      </w:tblGrid>
      <w:tr>
        <w:tc>
          <w:tcPr>
            <w:tcW w:w="8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步骤</w:t>
            </w:r>
          </w:p>
        </w:tc>
        <w:tc>
          <w:tcPr>
            <w:tcW w:w="36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操作</w:t>
            </w:r>
          </w:p>
        </w:tc>
        <w:tc>
          <w:tcPr>
            <w:tcW w:w="49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打开 FortuneBJOptimizer.exe。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双击打包文件夹中的 FortuneBJOptimizer.exe。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确认授权状态正常。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左下角显示授权有效；如果授权失效，先联系管理员更新license。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确认数据路径。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配置页中的5个输入文件指向“数据导入”文件夹。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选择计算模式。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先跑ModeA看整体压力，再跑ModeB看优化建议。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选择优化粒度。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想看周度压力选“周”；想看月度压力选“月”。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选择优化开始周期。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从2026-07-20开始看未完成订单，就把日期选到2026-07-20；ModeA和ModeB都会使用这个开始周期。</w:t>
            </w:r>
          </w:p>
        </w:tc>
      </w:tr>
      <w:tr>
        <w:tc>
          <w:tcPr>
            <w:tcW w:w="800" w:type="dxa"/>
            <w:vAlign w:val="top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</w:pPr>
            <w:r>
              <w:t xml:space="preserve">点击运行产能分析。</w:t>
            </w:r>
          </w:p>
        </w:tc>
        <w:tc>
          <w:tcPr>
            <w:tcW w:w="4960" w:type="dxa"/>
            <w:vAlign w:val="top"/>
          </w:tcPr>
          <w:p>
            <w:pPr>
              <w:pStyle w:val="TableText"/>
            </w:pPr>
            <w:r>
              <w:t xml:space="preserve">运行完成后，弹窗可直接打开最新报告。</w:t>
            </w:r>
          </w:p>
        </w:tc>
      </w:tr>
    </w:tbl>
    <w:p>
      <w:pPr>
        <w:pStyle w:val="Heading1"/>
      </w:pPr>
      <w:r>
        <w:t xml:space="preserve">4. ModeA怎么用</w:t>
      </w:r>
    </w:p>
    <w:p>
      <w:r>
        <w:t xml:space="preserve">ModeA用于先看原始订单压力。它适合做第一轮产能盘点，帮助客户快速找到高负荷工作组、工作中心和订单。ModeA也会使用界面上选择的优化开始周期，便于和ModeB在同一时间范围内对比。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100"/>
        <w:gridCol w:w="30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报告页</w:t>
            </w:r>
          </w:p>
        </w:tc>
        <w:tc>
          <w:tcPr>
            <w:tcW w:w="41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30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仪表板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先确认本次订单数量、工序数量、瓶颈数量和数据质量记录。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仪表板显示瓶颈数量较多，就继续看瓶颈分析和热力图。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周度/月度产能分析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按周期和工作中心查看负荷小时、产能小时、负荷率。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某工作中心W30负荷率为250%，说明这一周压力很高。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瓶颈分析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按负荷率排序看压力最大的工作中心。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前10行通常就是需要重点关注的资源。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工作组热力图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横向看多个周期的工作组压力。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某工作组连续多周颜色较深，说明不是单周尖峰。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订单工序分配明细</w:t>
            </w:r>
          </w:p>
        </w:tc>
        <w:tc>
          <w:tcPr>
            <w:tcW w:w="4100" w:type="dxa"/>
            <w:vAlign w:val="top"/>
          </w:tcPr>
          <w:p>
            <w:pPr>
              <w:pStyle w:val="TableText"/>
            </w:pPr>
            <w:r>
              <w:t xml:space="preserve">按订单号追溯每道活动落在哪个周期和工作中心。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</w:pPr>
            <w:r>
              <w:t xml:space="preserve">筛选订单1000001，看到活动10在W30，活动20跨到W31。</w:t>
            </w:r>
          </w:p>
        </w:tc>
      </w:tr>
    </w:tbl>
    <w:p>
      <w:pPr>
        <w:pStyle w:val="Heading1"/>
      </w:pPr>
      <w:r>
        <w:t xml:space="preserve">5. ModeB怎么用</w:t>
      </w:r>
    </w:p>
    <w:p>
      <w:r>
        <w:t xml:space="preserve">ModeB用于看100%产能优化建议。它会结合可选工序和外包路径，给出周期级的产能分流结果。客户重点看优化后负荷是否下降、哪些工序被分流、哪些周期仍然需要额外处理。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300"/>
        <w:gridCol w:w="27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报告页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27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100%产能优化总览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看优化前后负荷变化，以及哪些工作中心仍有缺口。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原始缺口300小时，优化后缺口80小时，说明分流后缓解了220小时。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订单工序分配明细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看每个订单活动被分到原工作中心、可选工作中心还是外包。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活动20拆成两行：3件保留原工作中心，2件转外包。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可选工序分流分析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只看发生变化的工序，便于业务确认分流动作。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一行显示原工作中心释放40小时，建议工作中心增加36小时。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超产能解决建议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查看优化后仍超产能的解决方向。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W30某工作中心剩余缺口100小时，可评估加班、外包或设备。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OR-Tools本次求解规模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查看本次优化规模和求解状态。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求解状态为OPTIMAL或FEASIBLE时，说明本次有可用优化结果。</w:t>
            </w:r>
          </w:p>
        </w:tc>
      </w:tr>
    </w:tbl>
    <w:p>
      <w:pPr>
        <w:pStyle w:val="Callout"/>
      </w:pPr>
      <w:r>
        <w:t xml:space="preserve">ModeB报告中的负荷已经按周或月拆分。例如一条工序从W30做到W31，订单工序分配明细会显示W30一行、W31一行；热力图和产能分析页也使用同一套周期负荷。</w:t>
      </w:r>
    </w:p>
    <w:p>
      <w:pPr>
        <w:pStyle w:val="Heading1"/>
      </w:pPr>
      <w:r>
        <w:t xml:space="preserve">6. 工作组热力图怎么读</w:t>
      </w:r>
    </w:p>
    <w:p>
      <w:r>
        <w:t xml:space="preserve">热力图用于快速定位压力集中在哪个工作组和哪个周期。它不替代工作中心明细；看到压力后，需要回到周度/月度产能分析查看具体工作中心。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3300"/>
        <w:gridCol w:w="38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热力图行</w:t>
            </w:r>
          </w:p>
        </w:tc>
        <w:tc>
          <w:tcPr>
            <w:tcW w:w="3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3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优化后负荷率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ModeB优化后，该工作组负荷占产能的比例。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1.35表示该工作组在这一周仍超过100%。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优化后负荷小时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ModeB优化后，该工作组本周期需要消化的小时。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W30北京小五轴显示5156.2小时，表示这周该工作组负荷很高。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优化后缺口小时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超过100%后剩下的小时。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缺口1796.2小时，表示仅靠本周期产能消化不完。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周期产能小时</w:t>
            </w:r>
          </w:p>
        </w:tc>
        <w:tc>
          <w:tcPr>
            <w:tcW w:w="3300" w:type="dxa"/>
            <w:vAlign w:val="top"/>
          </w:tcPr>
          <w:p>
            <w:pPr>
              <w:pStyle w:val="TableText"/>
            </w:pPr>
            <w:r>
              <w:t xml:space="preserve">该工作组本周期可用产能合计。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</w:pPr>
            <w:r>
              <w:t xml:space="preserve">产能3360小时，负荷5156.2小时，所以需要看建议页。</w:t>
            </w:r>
          </w:p>
        </w:tc>
      </w:tr>
    </w:tbl>
    <w:p>
      <w:pPr>
        <w:pStyle w:val="Heading1"/>
      </w:pPr>
      <w:r>
        <w:t xml:space="preserve">7. 订单工序分配明细怎么读</w:t>
      </w:r>
    </w:p>
    <w:p>
      <w:r>
        <w:t xml:space="preserve">订单工序分配明细是最适合追溯单个订单的页面。客户可以按订单号、物料、活动、周期、工作组、优化动作筛选。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400"/>
        <w:gridCol w:w="26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44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  <w:tc>
          <w:tcPr>
            <w:tcW w:w="26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订单/物料/活动/工序短文本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定位是哪张订单、哪个产品、哪道工序。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订单1000001，物料A，活动20，工序短文本为北京小五轴。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周期/周期日期跨度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该行负荷归属到哪一周或哪一月。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2026-W30，2026-07-20至2026-07-26。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原工序总产品数量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该工序本来一共要处理多少件。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5件。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本行分配产品数量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这一行代表多少件产品走这条路径。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2件转可选工作中心。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同工序分配行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同一订单同一活动被拆到几条路径。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1/2、2/2表示该工序有两条路径分配。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同分配周期拆分行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同一条路径的负荷跨了几个周期。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1/2表示这条路径负荷跨两周，这是第一周。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原工作中心/优化后工作中心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看工序从哪里来，优化后建议去哪里。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原工作中心WC1，优化后工作中心WC2。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优化动作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看该行是保留原工作中心、转可选工作中心还是转外包。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转外包表示不占用厂内工作中心产能。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优化后单位工时来源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看优化后单位工时来自哪里，便于复核可选工序维护。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显示可选工序表填写，表示客户在可选工序表手动维护；显示从生产订单工序继承，表示可选单位工时原来为空。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本周期负荷小时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该行在当前周期占用的小时。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一条工序总负荷100小时，跨两周后可能W30显示60小时，W31显示40小时。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优化后厂内负荷小时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优化后仍占用厂内的小时；外包行为0。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转外包行显示0。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原工作中心释放小时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从原工作中心释放出来的小时。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转可选或外包后，原工作中心压力会下降。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外包释放本厂工时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转外包释放的厂内小时。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外包2件后释放20小时。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外包返回日历天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外包路径当前按7天返回展示。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外包行显示7。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说明</w:t>
            </w:r>
          </w:p>
        </w:tc>
        <w:tc>
          <w:tcPr>
            <w:tcW w:w="4400" w:type="dxa"/>
            <w:vAlign w:val="top"/>
          </w:tcPr>
          <w:p>
            <w:pPr>
              <w:pStyle w:val="TableText"/>
            </w:pPr>
            <w:r>
              <w:t xml:space="preserve">补充说明拆分和外包等阅读提示。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</w:pPr>
            <w:r>
              <w:t xml:space="preserve">提示负荷小时按周期拆分，产品数量是涉及数量。</w:t>
            </w:r>
          </w:p>
        </w:tc>
      </w:tr>
    </w:tbl>
    <w:p>
      <w:pPr>
        <w:pStyle w:val="Heading2"/>
      </w:pPr>
      <w:r>
        <w:t xml:space="preserve">7.1 三个常见明细例子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200"/>
        <w:gridCol w:w="29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场景</w:t>
            </w:r>
          </w:p>
        </w:tc>
        <w:tc>
          <w:tcPr>
            <w:tcW w:w="4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明细里看到什么</w:t>
            </w:r>
          </w:p>
        </w:tc>
        <w:tc>
          <w:tcPr>
            <w:tcW w:w="29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全部留在原工作中心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同一订单活动只有1行，优化动作为保留原工作中心。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这道工序没有被转移，所有数量仍占用原工作中心。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按整数件分流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同一订单活动有2行：3件保留原工作中心，2件转可选工作中心。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这道工序按产品件数拆分，不会按半件产品拆。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跨周显示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</w:pPr>
            <w:r>
              <w:t xml:space="preserve">同一行路径出现W30和W31两条周期拆分行。</w:t>
            </w:r>
          </w:p>
        </w:tc>
        <w:tc>
          <w:tcPr>
            <w:tcW w:w="2960" w:type="dxa"/>
            <w:vAlign w:val="top"/>
          </w:tcPr>
          <w:p>
            <w:pPr>
              <w:pStyle w:val="TableText"/>
            </w:pPr>
            <w:r>
              <w:t xml:space="preserve">这是同一条路径的负荷分摊到两个周期，汇总起来才是这条路径的总负荷。</w:t>
            </w:r>
          </w:p>
        </w:tc>
      </w:tr>
    </w:tbl>
    <w:p>
      <w:pPr>
        <w:pStyle w:val="Heading1"/>
      </w:pPr>
      <w:r>
        <w:t xml:space="preserve">8. 超产能解决建议怎么用</w:t>
      </w:r>
    </w:p>
    <w:p>
      <w:r>
        <w:t xml:space="preserve">超产能解决建议只列出优化后仍超过100%的工作中心周期。它用于把问题转成可讨论的业务动作。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3900"/>
        <w:gridCol w:w="32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39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客户怎么用</w:t>
            </w:r>
          </w:p>
        </w:tc>
        <w:tc>
          <w:tcPr>
            <w:tcW w:w="32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剩余缺口小时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看本周期还差多少小时。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缺口80小时，表示需要额外补80小时。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建议外包小时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用于评估能不能把缺口交给外包。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如果外包资源可用，可把80小时作为外包讨论基数。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建议加班小时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用于评估临时排班或加班。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本周补80小时，可以拆到多台设备或多天。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建议新增设备数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用于设备投资或长期能力评估。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连续多周期都建议新增设备时，适合进入设备投资讨论。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建议排班调整</w:t>
            </w:r>
          </w:p>
        </w:tc>
        <w:tc>
          <w:tcPr>
            <w:tcW w:w="3900" w:type="dxa"/>
            <w:vAlign w:val="top"/>
          </w:tcPr>
          <w:p>
            <w:pPr>
              <w:pStyle w:val="TableText"/>
            </w:pPr>
            <w:r>
              <w:t xml:space="preserve">用于和生产现场讨论班次。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</w:pPr>
            <w:r>
              <w:t xml:space="preserve">可评估延长每日工作小时或增加周末班次。</w:t>
            </w:r>
          </w:p>
        </w:tc>
      </w:tr>
    </w:tbl>
    <w:p>
      <w:pPr>
        <w:pStyle w:val="Heading1"/>
      </w:pPr>
      <w:r>
        <w:t xml:space="preserve">9. 热处/表处页面怎么读</w:t>
      </w:r>
    </w:p>
    <w:p>
      <w:r>
        <w:t xml:space="preserve">如果选择热处/表处专用逻辑，报告会增加热处/表处相关字段和页面。客户使用时重点看周期负荷、容量占用、炉次或流水线吞吐情况。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300"/>
        <w:gridCol w:w="4300"/>
        <w:gridCol w:w="2760"/>
      </w:tblGrid>
      <w:tr>
        <w:tc>
          <w:tcPr>
            <w:tcW w:w="2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字段或页面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客户怎么理解</w:t>
            </w:r>
          </w:p>
        </w:tc>
        <w:tc>
          <w:tcPr>
            <w:tcW w:w="27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产能计算类型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显示普通工时、批量处理、流水线处理或外包。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热处理炉显示批量处理。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容量占用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该周期该工序占用的装炉面积或容量。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一批产品占用2平方米。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单炉容量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该炉子一次可承载的有效容量。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单炉容量5平方米。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折算炉次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用于看本周期大约需要多少炉。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显示3，表示这批负荷大约需要3炉。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流水线吞吐率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用于看流水炉单位时间处理能力。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每小时50件。</w:t>
            </w:r>
          </w:p>
        </w:tc>
      </w:tr>
      <w:tr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热处表处产能分析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按周期汇总热处/表处负荷和产能。</w:t>
            </w:r>
          </w:p>
        </w:tc>
        <w:tc>
          <w:tcPr>
            <w:tcW w:w="2760" w:type="dxa"/>
            <w:vAlign w:val="top"/>
          </w:tcPr>
          <w:p>
            <w:pPr>
              <w:pStyle w:val="TableText"/>
            </w:pPr>
            <w:r>
              <w:t xml:space="preserve">W30热处理负荷高，需要评估外包或班次。</w:t>
            </w:r>
          </w:p>
        </w:tc>
      </w:tr>
    </w:tbl>
    <w:p>
      <w:pPr>
        <w:pStyle w:val="Callout"/>
      </w:pPr>
      <w:r>
        <w:t xml:space="preserve">热处/表处页面用于产能分析，不是实际装炉单。实际装炉还需要现场按工艺、质量和设备状态确认。</w:t>
      </w:r>
    </w:p>
    <w:p>
      <w:pPr>
        <w:pStyle w:val="Heading1"/>
      </w:pPr>
      <w:r>
        <w:t xml:space="preserve">10. 推荐阅读顺序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200"/>
        <w:gridCol w:w="4300"/>
        <w:gridCol w:w="2860"/>
      </w:tblGrid>
      <w:tr>
        <w:tc>
          <w:tcPr>
            <w:tcW w:w="22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目的</w:t>
            </w:r>
          </w:p>
        </w:tc>
        <w:tc>
          <w:tcPr>
            <w:tcW w:w="430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阅读顺序</w:t>
            </w:r>
          </w:p>
        </w:tc>
        <w:tc>
          <w:tcPr>
            <w:tcW w:w="2860" w:type="dxa"/>
            <w:vAlign w:val="top"/>
            <w:shd w:fill="E8EEF5"/>
          </w:tcPr>
          <w:p>
            <w:pPr>
              <w:pStyle w:val="TableText"/>
            </w:pPr>
            <w:r>
              <w:rPr>
                <w:b/>
              </w:rPr>
              <w:t xml:space="preserve">例子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第一次看报告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仪表板 → 工作组热力图 → 周度/月度产能分析 → 瓶颈分析。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先找压力最大的工作组，再定位到具体工作中心。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解释某个订单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订单工序分配明细 → 按订单号筛选 → 按活动号排序。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看到活动20分到外包，就继续看外包释放小时。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解释ModeB优化效果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100%产能优化总览 → 可选工序分流分析 → 超产能解决建议。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先看缺口有没有下降，再看分流到哪里。</w:t>
            </w:r>
          </w:p>
        </w:tc>
      </w:tr>
      <w:tr>
        <w:tc>
          <w:tcPr>
            <w:tcW w:w="2200" w:type="dxa"/>
            <w:vAlign w:val="top"/>
          </w:tcPr>
          <w:p>
            <w:pPr>
              <w:pStyle w:val="TableText"/>
            </w:pPr>
            <w:r>
              <w:t xml:space="preserve">准备管理汇报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>工作组热力图 → 超产能解决建议 → 订单工序分配明细示例。</w:t>
            </w:r>
          </w:p>
        </w:tc>
        <w:tc>
          <w:tcPr>
            <w:tcW w:w="2860" w:type="dxa"/>
            <w:vAlign w:val="top"/>
          </w:tcPr>
          <w:p>
            <w:pPr>
              <w:pStyle w:val="TableText"/>
            </w:pPr>
            <w:r>
              <w:t xml:space="preserve">用热力图说明压力，用建议页说明动作，用明细页举例。</w:t>
            </w:r>
          </w:p>
        </w:tc>
      </w:tr>
    </w:tbl>
    <w:p>
      <w:pPr>
        <w:pStyle w:val="Heading1"/>
      </w:pPr>
      <w:r>
        <w:t xml:space="preserve">11. 使用前检查清单</w:t>
      </w:r>
    </w:p>
    <w:p>
      <w:pPr>
        <w:pStyle w:val="ListBullet"/>
        <w:numPr>
          <w:ilvl w:val="0"/>
          <w:numId w:val="1"/>
        </w:numPr>
      </w:pPr>
      <w:r>
        <w:t xml:space="preserve">订单号保持文本格式，不要让Excel把长订单号保存成科学计数法。</w:t>
      </w:r>
    </w:p>
    <w:p>
      <w:pPr>
        <w:pStyle w:val="ListBullet"/>
        <w:numPr>
          <w:ilvl w:val="0"/>
          <w:numId w:val="1"/>
        </w:numPr>
      </w:pPr>
      <w:r>
        <w:t xml:space="preserve">订单交期数量表中只保留本次要分析的有效订单。</w:t>
      </w:r>
    </w:p>
    <w:p>
      <w:pPr>
        <w:pStyle w:val="ListBullet"/>
        <w:numPr>
          <w:ilvl w:val="0"/>
          <w:numId w:val="1"/>
        </w:numPr>
      </w:pPr>
      <w:r>
        <w:t xml:space="preserve">供给日期维护为业务希望满足的日期；历史未完订单会从优化开始周期进入分析。</w:t>
      </w:r>
    </w:p>
    <w:p>
      <w:pPr>
        <w:pStyle w:val="ListBullet"/>
        <w:numPr>
          <w:ilvl w:val="0"/>
          <w:numId w:val="1"/>
        </w:numPr>
      </w:pPr>
      <w:r>
        <w:t xml:space="preserve">生产订单工序表中，每个有效订单都有完整活动和工序短文本。</w:t>
      </w:r>
    </w:p>
    <w:p>
      <w:pPr>
        <w:pStyle w:val="ListBullet"/>
        <w:numPr>
          <w:ilvl w:val="0"/>
          <w:numId w:val="1"/>
        </w:numPr>
      </w:pPr>
      <w:r>
        <w:t xml:space="preserve">工作中心表中的资源组分类要维护清楚，因为热力图按工作组展示。</w:t>
      </w:r>
    </w:p>
    <w:p>
      <w:pPr>
        <w:pStyle w:val="ListBullet"/>
        <w:numPr>
          <w:ilvl w:val="0"/>
          <w:numId w:val="1"/>
        </w:numPr>
      </w:pPr>
      <w:r>
        <w:t xml:space="preserve">工作中心表中的日历名称要能在工作日历表中找到。</w:t>
      </w:r>
    </w:p>
    <w:p>
      <w:pPr>
        <w:pStyle w:val="ListBullet"/>
        <w:numPr>
          <w:ilvl w:val="0"/>
          <w:numId w:val="1"/>
        </w:numPr>
      </w:pPr>
      <w:r>
        <w:t xml:space="preserve">可选工序表中的物料和活动号要与生产订单工序表一致。</w:t>
      </w:r>
    </w:p>
    <w:p>
      <w:pPr>
        <w:pStyle w:val="ListBullet"/>
        <w:numPr>
          <w:ilvl w:val="0"/>
          <w:numId w:val="1"/>
        </w:numPr>
      </w:pPr>
      <w:r>
        <w:t xml:space="preserve">可选工序表中的可选单位工时如果是占位值，请改成真实工时或清空；清空后工具会在报告中显示工时来源。</w:t>
      </w:r>
    </w:p>
    <w:p>
      <w:pPr>
        <w:pStyle w:val="ListBullet"/>
        <w:numPr>
          <w:ilvl w:val="0"/>
          <w:numId w:val="1"/>
        </w:numPr>
      </w:pPr>
      <w:r>
        <w:t xml:space="preserve">外包行用可选资源组分类=外包维护；外包单位工时可以不填。</w:t>
      </w:r>
    </w:p>
    <w:p>
      <w:pPr>
        <w:pStyle w:val="ListBullet"/>
        <w:numPr>
          <w:ilvl w:val="0"/>
          <w:numId w:val="1"/>
        </w:numPr>
      </w:pPr>
      <w:r>
        <w:t xml:space="preserve">运行完成后优先打开最新报告，不要混用旧版本报告解释新逻辑。</w:t>
      </w:r>
    </w:p>
    <w:sectPr>
      <w:pgSz w:w="12240" w:h="15840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Calibri" w:hAnsi="Calibri" w:eastAsia="Microsoft YaHei"/>
      <w:sz w:val="22"/>
      <w:color w:val="202020"/>
    </w:rPr>
  </w:style>
  <w:style w:type="paragraph" w:styleId="Title">
    <w:name w:val="Title"/>
    <w:basedOn w:val="Normal"/>
    <w:pPr>
      <w:spacing w:after="160"/>
    </w:pPr>
    <w:rPr>
      <w:rFonts w:ascii="Calibri" w:hAnsi="Calibri" w:eastAsia="Microsoft YaHei"/>
      <w:b/>
      <w:sz w:val="42"/>
      <w:color w:val="1F4D78"/>
    </w:rPr>
  </w:style>
  <w:style w:type="paragraph" w:styleId="Subtitle">
    <w:name w:val="Subtitle"/>
    <w:basedOn w:val="Normal"/>
    <w:pPr>
      <w:spacing w:after="100" w:line="280" w:lineRule="auto"/>
    </w:pPr>
    <w:rPr>
      <w:rFonts w:ascii="Calibri" w:hAnsi="Calibri" w:eastAsia="Microsoft YaHei"/>
      <w:sz w:val="21"/>
      <w:color w:val="555555"/>
    </w:rPr>
  </w:style>
  <w:style w:type="paragraph" w:styleId="Heading1">
    <w:name w:val="heading 1"/>
    <w:basedOn w:val="Normal"/>
    <w:pPr>
      <w:keepNext/>
      <w:spacing w:before="360" w:after="200"/>
      <w:outlineLvl w:val="0"/>
    </w:pPr>
    <w:rPr>
      <w:rFonts w:ascii="Calibri" w:hAnsi="Calibri" w:eastAsia="Microsoft YaHei"/>
      <w:b/>
      <w:sz w:val="32"/>
      <w:color w:val="2E74B5"/>
    </w:rPr>
  </w:style>
  <w:style w:type="paragraph" w:styleId="Heading2">
    <w:name w:val="heading 2"/>
    <w:basedOn w:val="Normal"/>
    <w:pPr>
      <w:keepNext/>
      <w:spacing w:before="280" w:after="140"/>
      <w:outlineLvl w:val="1"/>
    </w:pPr>
    <w:rPr>
      <w:rFonts w:ascii="Calibri" w:hAnsi="Calibri" w:eastAsia="Microsoft YaHei"/>
      <w:b/>
      <w:sz w:val="26"/>
      <w:color w:val="2E74B5"/>
    </w:rPr>
  </w:style>
  <w:style w:type="paragraph" w:styleId="ListBullet">
    <w:name w:val="List Bullet"/>
    <w:basedOn w:val="Normal"/>
    <w:pPr>
      <w:spacing w:after="80" w:line="300" w:lineRule="auto"/>
      <w:ind w:left="540" w:hanging="270"/>
    </w:pPr>
    <w:rPr>
      <w:rFonts w:ascii="Calibri" w:hAnsi="Calibri" w:eastAsia="Microsoft YaHei"/>
      <w:sz w:val="22"/>
      <w:color w:val="202020"/>
    </w:rPr>
  </w:style>
  <w:style w:type="paragraph" w:styleId="Callout">
    <w:name w:val="Callout"/>
    <w:basedOn w:val="Normal"/>
    <w:pPr>
      <w:spacing w:before="80" w:after="140"/>
      <w:shd w:fill="F4F6F9"/>
      <w:ind w:left="160" w:right="160"/>
    </w:pPr>
    <w:rPr>
      <w:rFonts w:ascii="Calibri" w:hAnsi="Calibri" w:eastAsia="Microsoft YaHei"/>
      <w:sz w:val="22"/>
      <w:color w:val="1F3A5F"/>
    </w:rPr>
  </w:style>
  <w:style w:type="paragraph" w:styleId="TableText">
    <w:name w:val="Table Text"/>
    <w:basedOn w:val="Normal"/>
    <w:pPr>
      <w:spacing w:after="40" w:line="280" w:lineRule="auto"/>
    </w:pPr>
    <w:rPr>
      <w:rFonts w:ascii="Calibri" w:hAnsi="Calibri" w:eastAsia="Microsoft YaHei"/>
      <w:sz w:val="19"/>
      <w:color w:val="202020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