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Fortune BJ 产能优化工具计算逻辑说明</w:t>
      </w:r>
    </w:p>
    <w:p>
      <w:r>
        <w:t xml:space="preserve">适用范围：数据导入、分析前校验、ModeA 无限产能分析、ModeB 100% 产能优化建议、可选工序、外包、热处/表处专用逻辑</w:t>
      </w:r>
    </w:p>
    <w:p>
      <w:r>
        <w:t xml:space="preserve">版本：V01 | 生成日期：2026-07-05</w:t>
      </w:r>
    </w:p>
    <w:p>
      <w:pPr>
        <w:pStyle w:val="Heading1"/>
      </w:pPr>
      <w:r>
        <w:t xml:space="preserve">核心结论</w:t>
      </w:r>
    </w:p>
    <w:p>
      <w:r>
        <w:t xml:space="preserve">本工具不是车间 APS 执行排产工具，而是周期级产能优化与建议工具。它先把订单需求、完整工序路线、工作中心能力、日历、可选工序和外包路径转成可计算的负荷，再在 ModeB 中用 OR-Tools 按整数产品数量选择原工作中心、可选工作中心或外包路径。报告重点解释每个周期的负荷、缺口、分流、外包释放和补产能建议。</w:t>
      </w:r>
    </w:p>
    <w:p>
      <w:pPr>
        <w:pStyle w:val="ListBullet"/>
      </w:pPr>
      <w:r>
        <w:t xml:space="preserve">ModeA：按订单交期倒排，形成无限产能压力视图，用于识别瓶颈和原始负荷。</w:t>
      </w:r>
    </w:p>
    <w:p>
      <w:pPr>
        <w:pStyle w:val="ListBullet"/>
      </w:pPr>
      <w:r>
        <w:t xml:space="preserve">ModeB：以 ModeA 倒排后的周期为基线，在同一周期内用 OR-Tools 做整数产品数量分配。</w:t>
      </w:r>
    </w:p>
    <w:p>
      <w:pPr>
        <w:pStyle w:val="ListBullet"/>
      </w:pPr>
      <w:r>
        <w:t xml:space="preserve">同一道工序可以按整数件拆到多个路径，但不能按非整数小时拆分产品。</w:t>
      </w:r>
    </w:p>
    <w:p>
      <w:pPr>
        <w:pStyle w:val="ListBullet"/>
      </w:pPr>
      <w:r>
        <w:t xml:space="preserve">外包路径视为无限产能，不占用厂内工作中心；当前固定按 7 天日历返回。</w:t>
      </w:r>
    </w:p>
    <w:p>
      <w:pPr>
        <w:pStyle w:val="ListBullet"/>
      </w:pPr>
      <w:r>
        <w:t xml:space="preserve">热处/表处专用逻辑当前是周期级容量折算，不输出每炉或每条流水线的执行顺序。</w:t>
      </w:r>
    </w:p>
    <w:p>
      <w:pPr>
        <w:pStyle w:val="Heading1"/>
      </w:pPr>
      <w:r>
        <w:t xml:space="preserve">1. 为什么不能只看订单数量或工序行数</w:t>
      </w:r>
    </w:p>
    <w:p>
      <w:r>
        <w:t xml:space="preserve">同样是 1 个订单，不同订单数量、工序路线、工作中心、单位工时完全不同。工具必须把每个订单的每道工序换算成负荷小时，再与工作中心周期产能小时比较。</w:t>
      </w:r>
    </w:p>
    <w:p>
      <w:pPr>
        <w:pStyle w:val="Formula"/>
      </w:pPr>
      <w:r>
        <w:t xml:space="preserve">普通工序单位工时 = 标准值1 + 标准值2 + 标准值3</w:t>
      </w:r>
    </w:p>
    <w:p>
      <w:pPr>
        <w:pStyle w:val="Formula"/>
      </w:pPr>
      <w:r>
        <w:t xml:space="preserve">普通工序负荷小时 = 订单数量 × 普通工序单位工时</w:t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订单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数量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单位工时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工序负荷</w:t>
            </w:r>
          </w:p>
        </w:tc>
      </w:tr>
      <w:tr>
        <w:tc>
          <w:tcPr>
            <w:tcW w:w="2400" w:type="dxa"/>
          </w:tcPr>
          <w:p>
            <w:r>
              <w:t xml:space="preserve">A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t xml:space="preserve">2 小时/件</w:t>
            </w:r>
          </w:p>
        </w:tc>
        <w:tc>
          <w:tcPr>
            <w:tcW w:w="2400" w:type="dxa"/>
          </w:tcPr>
          <w:p>
            <w:r>
              <w:t xml:space="preserve">10 × 2 = 20 小时</w:t>
            </w:r>
          </w:p>
        </w:tc>
      </w:tr>
      <w:tr>
        <w:tc>
          <w:tcPr>
            <w:tcW w:w="2400" w:type="dxa"/>
          </w:tcPr>
          <w:p>
            <w:r>
              <w:t xml:space="preserve">B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15 小时/件</w:t>
            </w:r>
          </w:p>
        </w:tc>
        <w:tc>
          <w:tcPr>
            <w:tcW w:w="2400" w:type="dxa"/>
          </w:tcPr>
          <w:p>
            <w:r>
              <w:t xml:space="preserve">2 × 15 = 30 小时</w:t>
            </w:r>
          </w:p>
        </w:tc>
      </w:tr>
    </w:tbl>
    <w:p>
      <w:r>
        <w:t xml:space="preserve">这个例子中，订单 B 只有 2 件，但负荷是 30 小时，高于订单 A 的 20 小时。因此工具不能用订单数或件数判断产能压力。</w:t>
      </w:r>
    </w:p>
    <w:p>
      <w:pPr>
        <w:pStyle w:val="Heading1"/>
      </w:pPr>
      <w:r>
        <w:t xml:space="preserve">2. 符号和变量解释</w:t>
      </w:r>
    </w:p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符号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中文含义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o</w:t>
            </w:r>
          </w:p>
        </w:tc>
        <w:tc>
          <w:tcPr>
            <w:tcW w:w="2400" w:type="dxa"/>
          </w:tcPr>
          <w:p>
            <w:r>
              <w:t xml:space="preserve">订单</w:t>
            </w:r>
          </w:p>
        </w:tc>
        <w:tc>
          <w:tcPr>
            <w:tcW w:w="2400" w:type="dxa"/>
          </w:tcPr>
          <w:p>
            <w:r>
              <w:t xml:space="preserve">来自订单交期数量中的富创单据号，与生产订单工序的订单字段对齐。</w:t>
            </w:r>
          </w:p>
        </w:tc>
      </w:tr>
      <w:tr>
        <w:tc>
          <w:tcPr>
            <w:tcW w:w="2400" w:type="dxa"/>
          </w:tcPr>
          <w:p>
            <w:r>
              <w:t xml:space="preserve">a</w:t>
            </w:r>
          </w:p>
        </w:tc>
        <w:tc>
          <w:tcPr>
            <w:tcW w:w="2400" w:type="dxa"/>
          </w:tcPr>
          <w:p>
            <w:r>
              <w:t xml:space="preserve">活动/工序号</w:t>
            </w:r>
          </w:p>
        </w:tc>
        <w:tc>
          <w:tcPr>
            <w:tcW w:w="2400" w:type="dxa"/>
          </w:tcPr>
          <w:p>
            <w:r>
              <w:t xml:space="preserve">同一订单内按活动号排序。</w:t>
            </w:r>
          </w:p>
        </w:tc>
      </w:tr>
      <w:tr>
        <w:tc>
          <w:tcPr>
            <w:tcW w:w="2400" w:type="dxa"/>
          </w:tcPr>
          <w:p>
            <w:r>
              <w:t xml:space="preserve">m</w:t>
            </w:r>
          </w:p>
        </w:tc>
        <w:tc>
          <w:tcPr>
            <w:tcW w:w="2400" w:type="dxa"/>
          </w:tcPr>
          <w:p>
            <w:r>
              <w:t xml:space="preserve">物料</w:t>
            </w:r>
          </w:p>
        </w:tc>
        <w:tc>
          <w:tcPr>
            <w:tcW w:w="2400" w:type="dxa"/>
          </w:tcPr>
          <w:p>
            <w:r>
              <w:t xml:space="preserve">用于匹配可选工序表。</w:t>
            </w:r>
          </w:p>
        </w:tc>
      </w:tr>
      <w:tr>
        <w:tc>
          <w:tcPr>
            <w:tcW w:w="2400" w:type="dxa"/>
          </w:tcPr>
          <w:p>
            <w:r>
              <w:t xml:space="preserve">w</w:t>
            </w:r>
          </w:p>
        </w:tc>
        <w:tc>
          <w:tcPr>
            <w:tcW w:w="2400" w:type="dxa"/>
          </w:tcPr>
          <w:p>
            <w:r>
              <w:t xml:space="preserve">工作中心</w:t>
            </w:r>
          </w:p>
        </w:tc>
        <w:tc>
          <w:tcPr>
            <w:tcW w:w="2400" w:type="dxa"/>
          </w:tcPr>
          <w:p>
            <w:r>
              <w:t xml:space="preserve">由生产订单工序的工序短文本匹配工作中心表。</w:t>
            </w:r>
          </w:p>
        </w:tc>
      </w:tr>
      <w:tr>
        <w:tc>
          <w:tcPr>
            <w:tcW w:w="2400" w:type="dxa"/>
          </w:tcPr>
          <w:p>
            <w:r>
              <w:t xml:space="preserve">q(o)</w:t>
            </w:r>
          </w:p>
        </w:tc>
        <w:tc>
          <w:tcPr>
            <w:tcW w:w="2400" w:type="dxa"/>
          </w:tcPr>
          <w:p>
            <w:r>
              <w:t xml:space="preserve">订单数量</w:t>
            </w:r>
          </w:p>
        </w:tc>
        <w:tc>
          <w:tcPr>
            <w:tcW w:w="2400" w:type="dxa"/>
          </w:tcPr>
          <w:p>
            <w:r>
              <w:t xml:space="preserve">同一富创单据号的华创需求数量累加。</w:t>
            </w:r>
          </w:p>
        </w:tc>
      </w:tr>
      <w:tr>
        <w:tc>
          <w:tcPr>
            <w:tcW w:w="2400" w:type="dxa"/>
          </w:tcPr>
          <w:p>
            <w:r>
              <w:t xml:space="preserve">h(o,a)</w:t>
            </w:r>
          </w:p>
        </w:tc>
        <w:tc>
          <w:tcPr>
            <w:tcW w:w="2400" w:type="dxa"/>
          </w:tcPr>
          <w:p>
            <w:r>
              <w:t xml:space="preserve">单位工时</w:t>
            </w:r>
          </w:p>
        </w:tc>
        <w:tc>
          <w:tcPr>
            <w:tcW w:w="2400" w:type="dxa"/>
          </w:tcPr>
          <w:p>
            <w:r>
              <w:t xml:space="preserve">标准值1+标准值2+标准值3。</w:t>
            </w:r>
          </w:p>
        </w:tc>
      </w:tr>
      <w:tr>
        <w:tc>
          <w:tcPr>
            <w:tcW w:w="2400" w:type="dxa"/>
          </w:tcPr>
          <w:p>
            <w:r>
              <w:t xml:space="preserve">load(o,a,w)</w:t>
            </w:r>
          </w:p>
        </w:tc>
        <w:tc>
          <w:tcPr>
            <w:tcW w:w="2400" w:type="dxa"/>
          </w:tcPr>
          <w:p>
            <w:r>
              <w:t xml:space="preserve">工序负荷小时</w:t>
            </w:r>
          </w:p>
        </w:tc>
        <w:tc>
          <w:tcPr>
            <w:tcW w:w="2400" w:type="dxa"/>
          </w:tcPr>
          <w:p>
            <w:r>
              <w:t xml:space="preserve">普通工序为 q(o)×h(o,a)。</w:t>
            </w:r>
          </w:p>
        </w:tc>
      </w:tr>
      <w:tr>
        <w:tc>
          <w:tcPr>
            <w:tcW w:w="2400" w:type="dxa"/>
          </w:tcPr>
          <w:p>
            <w:r>
              <w:t xml:space="preserve">cap(p,w)</w:t>
            </w:r>
          </w:p>
        </w:tc>
        <w:tc>
          <w:tcPr>
            <w:tcW w:w="2400" w:type="dxa"/>
          </w:tcPr>
          <w:p>
            <w:r>
              <w:t xml:space="preserve">周期产能小时</w:t>
            </w:r>
          </w:p>
        </w:tc>
        <w:tc>
          <w:tcPr>
            <w:tcW w:w="2400" w:type="dxa"/>
          </w:tcPr>
          <w:p>
            <w:r>
              <w:t xml:space="preserve">工作中心数量×平均每日小时×周期天数。</w:t>
            </w:r>
          </w:p>
        </w:tc>
      </w:tr>
      <w:tr>
        <w:tc>
          <w:tcPr>
            <w:tcW w:w="2400" w:type="dxa"/>
          </w:tcPr>
          <w:p>
            <w:r>
              <w:t xml:space="preserve">x(o,a,r)</w:t>
            </w:r>
          </w:p>
        </w:tc>
        <w:tc>
          <w:tcPr>
            <w:tcW w:w="2400" w:type="dxa"/>
          </w:tcPr>
          <w:p>
            <w:r>
              <w:t xml:space="preserve">ModeB 分配数量</w:t>
            </w:r>
          </w:p>
        </w:tc>
        <w:tc>
          <w:tcPr>
            <w:tcW w:w="2400" w:type="dxa"/>
          </w:tcPr>
          <w:p>
            <w:r>
              <w:t xml:space="preserve">工序 o,a 分配到路径 r 的整数产品数量。</w:t>
            </w:r>
          </w:p>
        </w:tc>
      </w:tr>
      <w:tr>
        <w:tc>
          <w:tcPr>
            <w:tcW w:w="2400" w:type="dxa"/>
          </w:tcPr>
          <w:p>
            <w:r>
              <w:t xml:space="preserve">short(p,w)</w:t>
            </w:r>
          </w:p>
        </w:tc>
        <w:tc>
          <w:tcPr>
            <w:tcW w:w="2400" w:type="dxa"/>
          </w:tcPr>
          <w:p>
            <w:r>
              <w:t xml:space="preserve">周期缺口小时</w:t>
            </w:r>
          </w:p>
        </w:tc>
        <w:tc>
          <w:tcPr>
            <w:tcW w:w="2400" w:type="dxa"/>
          </w:tcPr>
          <w:p>
            <w:r>
              <w:t xml:space="preserve">优化后负荷超过周期产能的部分。</w:t>
            </w:r>
          </w:p>
        </w:tc>
      </w:tr>
    </w:tbl>
    <w:p>
      <w:pPr>
        <w:pStyle w:val="Heading1"/>
      </w:pPr>
      <w:r>
        <w:t xml:space="preserve">3. 输入文件如何变成计算对象</w:t>
      </w:r>
    </w:p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输入文件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关键字段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进入模型后的作用</w:t>
            </w:r>
          </w:p>
        </w:tc>
      </w:tr>
      <w:tr>
        <w:tc>
          <w:tcPr>
            <w:tcW w:w="2400" w:type="dxa"/>
          </w:tcPr>
          <w:p>
            <w:r>
              <w:t xml:space="preserve">订单交期数量_排产输入模板.csv</w:t>
            </w:r>
          </w:p>
        </w:tc>
        <w:tc>
          <w:tcPr>
            <w:tcW w:w="2400" w:type="dxa"/>
          </w:tcPr>
          <w:p>
            <w:r>
              <w:t xml:space="preserve">富创单据号、华创需求数量、供给日期、紧急订单标识</w:t>
            </w:r>
          </w:p>
        </w:tc>
        <w:tc>
          <w:tcPr>
            <w:tcW w:w="2400" w:type="dxa"/>
          </w:tcPr>
          <w:p>
            <w:r>
              <w:t xml:space="preserve">形成订单需求、数量、交期和紧急标记。</w:t>
            </w:r>
          </w:p>
        </w:tc>
      </w:tr>
      <w:tr>
        <w:tc>
          <w:tcPr>
            <w:tcW w:w="2400" w:type="dxa"/>
          </w:tcPr>
          <w:p>
            <w:r>
              <w:t xml:space="preserve">生产订单工序_排产输入模板.csv</w:t>
            </w:r>
          </w:p>
        </w:tc>
        <w:tc>
          <w:tcPr>
            <w:tcW w:w="2400" w:type="dxa"/>
          </w:tcPr>
          <w:p>
            <w:r>
              <w:t xml:space="preserve">订单、活动、物料、工序短文本、标准值1/2/3</w:t>
            </w:r>
          </w:p>
        </w:tc>
        <w:tc>
          <w:tcPr>
            <w:tcW w:w="2400" w:type="dxa"/>
          </w:tcPr>
          <w:p>
            <w:r>
              <w:t xml:space="preserve">形成订单工序路线、工序排序、工作中心映射和单位工时。</w:t>
            </w:r>
          </w:p>
        </w:tc>
      </w:tr>
      <w:tr>
        <w:tc>
          <w:tcPr>
            <w:tcW w:w="2400" w:type="dxa"/>
          </w:tcPr>
          <w:p>
            <w:r>
              <w:t xml:space="preserve">工作中心_排产输入模板.csv</w:t>
            </w:r>
          </w:p>
        </w:tc>
        <w:tc>
          <w:tcPr>
            <w:tcW w:w="2400" w:type="dxa"/>
          </w:tcPr>
          <w:p>
            <w:r>
              <w:t xml:space="preserve">工作中心、资源组分类、数量、日历名称</w:t>
            </w:r>
          </w:p>
        </w:tc>
        <w:tc>
          <w:tcPr>
            <w:tcW w:w="2400" w:type="dxa"/>
          </w:tcPr>
          <w:p>
            <w:r>
              <w:t xml:space="preserve">形成工作中心资源能力；热处/表处字段可覆盖容量计算方式。</w:t>
            </w:r>
          </w:p>
        </w:tc>
      </w:tr>
      <w:tr>
        <w:tc>
          <w:tcPr>
            <w:tcW w:w="2400" w:type="dxa"/>
          </w:tcPr>
          <w:p>
            <w:r>
              <w:t xml:space="preserve">工作日历_排产输入模板.csv</w:t>
            </w:r>
          </w:p>
        </w:tc>
        <w:tc>
          <w:tcPr>
            <w:tcW w:w="2400" w:type="dxa"/>
          </w:tcPr>
          <w:p>
            <w:r>
              <w:t xml:space="preserve">日历名称、每日工作小时、每周工作天数</w:t>
            </w:r>
          </w:p>
        </w:tc>
        <w:tc>
          <w:tcPr>
            <w:tcW w:w="2400" w:type="dxa"/>
          </w:tcPr>
          <w:p>
            <w:r>
              <w:t xml:space="preserve">形成平均每日可用小时。</w:t>
            </w:r>
          </w:p>
        </w:tc>
      </w:tr>
      <w:tr>
        <w:tc>
          <w:tcPr>
            <w:tcW w:w="2400" w:type="dxa"/>
          </w:tcPr>
          <w:p>
            <w:r>
              <w:t xml:space="preserve">可选工序_排产输入模板.csv</w:t>
            </w:r>
          </w:p>
        </w:tc>
        <w:tc>
          <w:tcPr>
            <w:tcW w:w="2400" w:type="dxa"/>
          </w:tcPr>
          <w:p>
            <w:r>
              <w:t xml:space="preserve">物料、活动、可选工作中心、可选资源组分类、可选单位工时</w:t>
            </w:r>
          </w:p>
        </w:tc>
        <w:tc>
          <w:tcPr>
            <w:tcW w:w="2400" w:type="dxa"/>
          </w:tcPr>
          <w:p>
            <w:r>
              <w:t xml:space="preserve">形成 ModeB 可选路径；可选资源组分类为外包时视为外包路径。</w:t>
            </w:r>
          </w:p>
        </w:tc>
      </w:tr>
    </w:tbl>
    <w:p>
      <w:r>
        <w:t xml:space="preserve">例子：订单 100000001，需求数量 5，交期 2026-07-20；生产订单工序有活动 10、20、30。活动 20 的工序短文本匹配到工作中心 A，标准值为 1、0.5、0，则活动 20 单位工时为 1.5 小时/件，负荷为 5×1.5=7.5 小时。</w:t>
      </w:r>
    </w:p>
    <w:p>
      <w:pPr>
        <w:pStyle w:val="Heading1"/>
      </w:pPr>
      <w:r>
        <w:t xml:space="preserve">4. 分析前硬校验逻辑</w:t>
      </w:r>
    </w:p>
    <w:p>
      <w:r>
        <w:t xml:space="preserve">正式计算前，工具先做硬校验。只要有效需求订单缺工序，或参与分析的工序短文本缺工作中心映射，正式产能分析就停止，并输出分析前数据校验报告。</w:t>
      </w:r>
    </w:p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校验项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失败条件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原因</w:t>
            </w:r>
          </w:p>
        </w:tc>
      </w:tr>
      <w:tr>
        <w:tc>
          <w:tcPr>
            <w:tcW w:w="2400" w:type="dxa"/>
          </w:tcPr>
          <w:p>
            <w:r>
              <w:t xml:space="preserve">订单是否都有工序</w:t>
            </w:r>
          </w:p>
        </w:tc>
        <w:tc>
          <w:tcPr>
            <w:tcW w:w="2400" w:type="dxa"/>
          </w:tcPr>
          <w:p>
            <w:r>
              <w:t xml:space="preserve">订单交期数量中有订单，但生产订单工序中找不到该订单</w:t>
            </w:r>
          </w:p>
        </w:tc>
        <w:tc>
          <w:tcPr>
            <w:tcW w:w="2400" w:type="dxa"/>
          </w:tcPr>
          <w:p>
            <w:r>
              <w:t xml:space="preserve">没有工序路线，无法计算工作中心和工时。</w:t>
            </w:r>
          </w:p>
        </w:tc>
      </w:tr>
      <w:tr>
        <w:tc>
          <w:tcPr>
            <w:tcW w:w="2400" w:type="dxa"/>
          </w:tcPr>
          <w:p>
            <w:r>
              <w:t xml:space="preserve">工序是否都有工作中心</w:t>
            </w:r>
          </w:p>
        </w:tc>
        <w:tc>
          <w:tcPr>
            <w:tcW w:w="2400" w:type="dxa"/>
          </w:tcPr>
          <w:p>
            <w:r>
              <w:t xml:space="preserve">参与分析的工序短文本不在工作中心表中，且不是外协</w:t>
            </w:r>
          </w:p>
        </w:tc>
        <w:tc>
          <w:tcPr>
            <w:tcW w:w="2400" w:type="dxa"/>
          </w:tcPr>
          <w:p>
            <w:r>
              <w:t xml:space="preserve">无法判断工序占用哪个资源。</w:t>
            </w:r>
          </w:p>
        </w:tc>
      </w:tr>
      <w:tr>
        <w:tc>
          <w:tcPr>
            <w:tcW w:w="2400" w:type="dxa"/>
          </w:tcPr>
          <w:p>
            <w:r>
              <w:t xml:space="preserve">必填列</w:t>
            </w:r>
          </w:p>
        </w:tc>
        <w:tc>
          <w:tcPr>
            <w:tcW w:w="2400" w:type="dxa"/>
          </w:tcPr>
          <w:p>
            <w:r>
              <w:t xml:space="preserve">输入文件缺少必填表头</w:t>
            </w:r>
          </w:p>
        </w:tc>
        <w:tc>
          <w:tcPr>
            <w:tcW w:w="2400" w:type="dxa"/>
          </w:tcPr>
          <w:p>
            <w:r>
              <w:t xml:space="preserve">无法构建模型字段。</w:t>
            </w:r>
          </w:p>
        </w:tc>
      </w:tr>
    </w:tbl>
    <w:p>
      <w:r>
        <w:t xml:space="preserve">例子：订单交期数量中有富创单据号 100000006038，数量 3，供给日期 2026-07-06；但生产订单工序文件没有订单=100000006038 的任何行。工具会报告“订单缺失工序”，并停止正式分析。</w:t>
      </w:r>
    </w:p>
    <w:p>
      <w:pPr>
        <w:pStyle w:val="Heading1"/>
      </w:pPr>
      <w:r>
        <w:t xml:space="preserve">5. 订单需求和交期处理</w:t>
      </w:r>
    </w:p>
    <w:p>
      <w:pPr>
        <w:pStyle w:val="Formula"/>
      </w:pPr>
      <w:r>
        <w:t xml:space="preserve">同一订单数量 = Σ 华创需求数量</w:t>
      </w:r>
    </w:p>
    <w:p>
      <w:r>
        <w:t xml:space="preserve">同一富创单据号如果出现多行，工具会把数量累加，并取最早供给日期作为该订单的交期。</w:t>
      </w:r>
    </w:p>
    <w:p>
      <w:r>
        <w:t xml:space="preserve">如果 ModeB 设置了优化开始周期，而订单交期早于优化开始周期，工具会把该订单转入优化开始周期计算，并自动视作紧急订单。这是为了处理历史遗留未生产订单。</w:t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输入行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数量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供给日期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汇总结果</w:t>
            </w:r>
          </w:p>
        </w:tc>
      </w:tr>
      <w:tr>
        <w:tc>
          <w:tcPr>
            <w:tcW w:w="2400" w:type="dxa"/>
          </w:tcPr>
          <w:p>
            <w:r>
              <w:t xml:space="preserve">订单 A 第1行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2026-07-10</w:t>
            </w:r>
          </w:p>
        </w:tc>
        <w:tc>
          <w:tcPr>
            <w:tcW w:w="2400" w:type="dxa"/>
          </w:tcPr>
          <w:p>
            <w:r>
              <w:t xml:space="preserve">数量累计</w:t>
            </w:r>
          </w:p>
        </w:tc>
      </w:tr>
      <w:tr>
        <w:tc>
          <w:tcPr>
            <w:tcW w:w="2400" w:type="dxa"/>
          </w:tcPr>
          <w:p>
            <w:r>
              <w:t xml:space="preserve">订单 A 第2行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2026-07-20</w:t>
            </w:r>
          </w:p>
        </w:tc>
        <w:tc>
          <w:tcPr>
            <w:tcW w:w="2400" w:type="dxa"/>
          </w:tcPr>
          <w:p>
            <w:r>
              <w:t xml:space="preserve">数量累计</w:t>
            </w:r>
          </w:p>
        </w:tc>
      </w:tr>
      <w:tr>
        <w:tc>
          <w:tcPr>
            <w:tcW w:w="2400" w:type="dxa"/>
          </w:tcPr>
          <w:p>
            <w:r>
              <w:t xml:space="preserve">汇总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2026-07-10</w:t>
            </w:r>
          </w:p>
        </w:tc>
        <w:tc>
          <w:tcPr>
            <w:tcW w:w="2400" w:type="dxa"/>
          </w:tcPr>
          <w:p>
            <w:r>
              <w:t xml:space="preserve">数量=5，交期取最早 2026-07-10</w:t>
            </w:r>
          </w:p>
        </w:tc>
      </w:tr>
    </w:tbl>
    <w:p>
      <w:pPr>
        <w:pStyle w:val="Heading1"/>
      </w:pPr>
      <w:r>
        <w:t xml:space="preserve">6. 工作中心周期产能计算</w:t>
      </w:r>
    </w:p>
    <w:p>
      <w:pPr>
        <w:pStyle w:val="Formula"/>
      </w:pPr>
      <w:r>
        <w:t xml:space="preserve">平均每日小时 = 每日工作小时 × 每周工作天数 / 7</w:t>
      </w:r>
    </w:p>
    <w:p>
      <w:pPr>
        <w:pStyle w:val="Formula"/>
      </w:pPr>
      <w:r>
        <w:t xml:space="preserve">周期产能小时 = 工作中心数量 × 平均每日小时 × 周期天数</w:t>
      </w:r>
    </w:p>
    <w:p>
      <w:r>
        <w:t xml:space="preserve">如果优化粒度选择周，周期天数通常为 7；如果选择月，周期天数为该月自然天数。</w:t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工作中心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数量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每日小时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每周工作天数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周期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周期产能</w:t>
            </w:r>
          </w:p>
        </w:tc>
      </w:tr>
      <w:tr>
        <w:tc>
          <w:tcPr>
            <w:tcW w:w="2400" w:type="dxa"/>
          </w:tcPr>
          <w:p>
            <w:r>
              <w:t xml:space="preserve">北京立加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24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t xml:space="preserve">1 周</w:t>
            </w:r>
          </w:p>
        </w:tc>
        <w:tc>
          <w:tcPr>
            <w:tcW w:w="2400" w:type="dxa"/>
          </w:tcPr>
          <w:p>
            <w:r>
              <w:t xml:space="preserve">2×24×7 = 336 小时</w:t>
            </w:r>
          </w:p>
        </w:tc>
      </w:tr>
      <w:tr>
        <w:tc>
          <w:tcPr>
            <w:tcW w:w="2400" w:type="dxa"/>
          </w:tcPr>
          <w:p>
            <w:r>
              <w:t xml:space="preserve">焊接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16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1 周</w:t>
            </w:r>
          </w:p>
        </w:tc>
        <w:tc>
          <w:tcPr>
            <w:tcW w:w="2400" w:type="dxa"/>
          </w:tcPr>
          <w:p>
            <w:r>
              <w:t xml:space="preserve">1×(16×5/7)×7 = 80 小时</w:t>
            </w:r>
          </w:p>
        </w:tc>
      </w:tr>
    </w:tbl>
    <w:p>
      <w:pPr>
        <w:pStyle w:val="Heading1"/>
      </w:pPr>
      <w:r>
        <w:t xml:space="preserve">7. ModeA 无限产能分析逻辑</w:t>
      </w:r>
    </w:p>
    <w:p>
      <w:r>
        <w:t xml:space="preserve">ModeA 按订单交期倒排同一订单内的工序。它不检查工作中心是否同一时间被多道工序占用，因此叫无限产能分析。它的作用是识别周期压力和瓶颈，而不是生成可执行排程。</w:t>
      </w:r>
    </w:p>
    <w:p>
      <w:pPr>
        <w:pStyle w:val="Formula"/>
      </w:pPr>
      <w:r>
        <w:t xml:space="preserve">每道工序结束时间 = 后序工序开始时间或订单交期</w:t>
      </w:r>
    </w:p>
    <w:p>
      <w:pPr>
        <w:pStyle w:val="Formula"/>
      </w:pPr>
      <w:r>
        <w:t xml:space="preserve">每道工序开始时间 = 工序结束时间 - 工序负荷小时</w:t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订单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活动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负荷小时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倒排结果</w:t>
            </w:r>
          </w:p>
        </w:tc>
      </w:tr>
      <w:tr>
        <w:tc>
          <w:tcPr>
            <w:tcW w:w="2400" w:type="dxa"/>
          </w:tcPr>
          <w:p>
            <w:r>
              <w:t xml:space="preserve">A</w:t>
            </w:r>
          </w:p>
        </w:tc>
        <w:tc>
          <w:tcPr>
            <w:tcW w:w="2400" w:type="dxa"/>
          </w:tcPr>
          <w:p>
            <w:r>
              <w:t xml:space="preserve">30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交期 7月10日 00:00 结束，7月9日 20:00 开始</w:t>
            </w:r>
          </w:p>
        </w:tc>
      </w:tr>
      <w:tr>
        <w:tc>
          <w:tcPr>
            <w:tcW w:w="2400" w:type="dxa"/>
          </w:tcPr>
          <w:p>
            <w:r>
              <w:t xml:space="preserve">A</w:t>
            </w:r>
          </w:p>
        </w:tc>
        <w:tc>
          <w:tcPr>
            <w:tcW w:w="2400" w:type="dxa"/>
          </w:tcPr>
          <w:p>
            <w:r>
              <w:t xml:space="preserve">20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t xml:space="preserve">接活动30开始点，7月9日 14:00 开始</w:t>
            </w:r>
          </w:p>
        </w:tc>
      </w:tr>
      <w:tr>
        <w:tc>
          <w:tcPr>
            <w:tcW w:w="2400" w:type="dxa"/>
          </w:tcPr>
          <w:p>
            <w:r>
              <w:t xml:space="preserve">A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t xml:space="preserve">接活动20开始点，7月9日 04:00 开始</w:t>
            </w:r>
          </w:p>
        </w:tc>
      </w:tr>
    </w:tbl>
    <w:p>
      <w:r>
        <w:t xml:space="preserve">ModeA 产能分析按周或月汇总工作中心负荷。若某工作中心周期负荷小时大于周期产能小时，则识别为瓶颈。</w:t>
      </w:r>
    </w:p>
    <w:p>
      <w:pPr>
        <w:pStyle w:val="Heading1"/>
      </w:pPr>
      <w:r>
        <w:t xml:space="preserve">8. ModeB 100% 产能优化建议逻辑</w:t>
      </w:r>
    </w:p>
    <w:p>
      <w:r>
        <w:t xml:space="preserve">ModeB 先执行 ModeA 形成基线，然后按每个工序落入的周期做 OR-Tools 整数产品数量优化。工具不是把单个工序按小时切开，而是把产品数量作为整数变量。</w:t>
      </w:r>
    </w:p>
    <w:p>
      <w:pPr>
        <w:pStyle w:val="Formula"/>
      </w:pPr>
      <w:r>
        <w:t xml:space="preserve">对每个工序：Σ x(o,a,r) = q(o)</w:t>
      </w:r>
    </w:p>
    <w:p>
      <w:r>
        <w:t xml:space="preserve">r 表示可选路径，包括原工作中心、可选工作中心和外包。每个 x 都是整数产品数量。</w:t>
      </w:r>
    </w:p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路径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变量含义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是否占厂内产能</w:t>
            </w:r>
          </w:p>
        </w:tc>
      </w:tr>
      <w:tr>
        <w:tc>
          <w:tcPr>
            <w:tcW w:w="2400" w:type="dxa"/>
          </w:tcPr>
          <w:p>
            <w:r>
              <w:t xml:space="preserve">原工作中心</w:t>
            </w:r>
          </w:p>
        </w:tc>
        <w:tc>
          <w:tcPr>
            <w:tcW w:w="2400" w:type="dxa"/>
          </w:tcPr>
          <w:p>
            <w:r>
              <w:t xml:space="preserve">保留在原工作中心的产品数量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</w:tr>
      <w:tr>
        <w:tc>
          <w:tcPr>
            <w:tcW w:w="2400" w:type="dxa"/>
          </w:tcPr>
          <w:p>
            <w:r>
              <w:t xml:space="preserve">可选工作中心</w:t>
            </w:r>
          </w:p>
        </w:tc>
        <w:tc>
          <w:tcPr>
            <w:tcW w:w="2400" w:type="dxa"/>
          </w:tcPr>
          <w:p>
            <w:r>
              <w:t xml:space="preserve">转到可选工作中心的产品数量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</w:tr>
      <w:tr>
        <w:tc>
          <w:tcPr>
            <w:tcW w:w="2400" w:type="dxa"/>
          </w:tcPr>
          <w:p>
            <w:r>
              <w:t xml:space="preserve">外包</w:t>
            </w:r>
          </w:p>
        </w:tc>
        <w:tc>
          <w:tcPr>
            <w:tcW w:w="2400" w:type="dxa"/>
          </w:tcPr>
          <w:p>
            <w:r>
              <w:t xml:space="preserve">转外包的产品数量</w:t>
            </w:r>
          </w:p>
        </w:tc>
        <w:tc>
          <w:tcPr>
            <w:tcW w:w="2400" w:type="dxa"/>
          </w:tcPr>
          <w:p>
            <w:r>
              <w:t xml:space="preserve">否</w:t>
            </w:r>
          </w:p>
        </w:tc>
      </w:tr>
    </w:tbl>
    <w:p>
      <w:r>
        <w:t xml:space="preserve">例子：某工序订单数量 5 件，原工作中心 A 单位工时 10 小时，可选工作中心 B 单位工时 12 小时，外包可用。OR-Tools 可以求出 A=1、B=2、外包=2。总数量仍为 1+2+2=5，且没有 1.5 件这种不可生产拆分。</w:t>
      </w:r>
    </w:p>
    <w:p>
      <w:pPr>
        <w:pStyle w:val="Heading1"/>
      </w:pPr>
      <w:r>
        <w:t xml:space="preserve">9. ModeB 工作中心约束和缺口变量</w:t>
      </w:r>
    </w:p>
    <w:p>
      <w:r>
        <w:t xml:space="preserve">每个周期、每个工作中心都有产能约束。为了保证即使超产能也能输出建议，模型使用缺口变量 short，而不是强制所有工作中心必须小于等于 100%。</w:t>
      </w:r>
    </w:p>
    <w:p>
      <w:pPr>
        <w:pStyle w:val="Formula"/>
      </w:pPr>
      <w:r>
        <w:t xml:space="preserve">Σ 厂内负荷小时(p,w) &lt;= 周期产能小时(p,w) + short(p,w)</w:t>
      </w:r>
    </w:p>
    <w:p>
      <w:pPr>
        <w:pStyle w:val="Formula"/>
      </w:pPr>
      <w:r>
        <w:t xml:space="preserve">short(p,w) = max(优化后负荷 - 周期产能, 0)</w:t>
      </w:r>
    </w:p>
    <w:p>
      <w:r>
        <w:t xml:space="preserve">如果优化后仍超 100%，报告会显示实际负荷率，并把缺口转成外包、加班、每日增加小时/台、新增设备数等建议。</w:t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周期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工作中心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产能小时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优化后负荷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缺口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负荷率</w:t>
            </w:r>
          </w:p>
        </w:tc>
      </w:tr>
      <w:tr>
        <w:tc>
          <w:tcPr>
            <w:tcW w:w="2400" w:type="dxa"/>
          </w:tcPr>
          <w:p>
            <w:r>
              <w:t xml:space="preserve">W28</w:t>
            </w:r>
          </w:p>
        </w:tc>
        <w:tc>
          <w:tcPr>
            <w:tcW w:w="2400" w:type="dxa"/>
          </w:tcPr>
          <w:p>
            <w:r>
              <w:t xml:space="preserve">A</w:t>
            </w:r>
          </w:p>
        </w:tc>
        <w:tc>
          <w:tcPr>
            <w:tcW w:w="2400" w:type="dxa"/>
          </w:tcPr>
          <w:p>
            <w:r>
              <w:t xml:space="preserve">100</w:t>
            </w:r>
          </w:p>
        </w:tc>
        <w:tc>
          <w:tcPr>
            <w:tcW w:w="2400" w:type="dxa"/>
          </w:tcPr>
          <w:p>
            <w:r>
              <w:t xml:space="preserve">130</w:t>
            </w:r>
          </w:p>
        </w:tc>
        <w:tc>
          <w:tcPr>
            <w:tcW w:w="2400" w:type="dxa"/>
          </w:tcPr>
          <w:p>
            <w:r>
              <w:t xml:space="preserve">30</w:t>
            </w:r>
          </w:p>
        </w:tc>
        <w:tc>
          <w:tcPr>
            <w:tcW w:w="2400" w:type="dxa"/>
          </w:tcPr>
          <w:p>
            <w:r>
              <w:t xml:space="preserve">130%</w:t>
            </w:r>
          </w:p>
        </w:tc>
      </w:tr>
      <w:tr>
        <w:tc>
          <w:tcPr>
            <w:tcW w:w="2400" w:type="dxa"/>
          </w:tcPr>
          <w:p>
            <w:r>
              <w:t xml:space="preserve">W28</w:t>
            </w:r>
          </w:p>
        </w:tc>
        <w:tc>
          <w:tcPr>
            <w:tcW w:w="2400" w:type="dxa"/>
          </w:tcPr>
          <w:p>
            <w:r>
              <w:t xml:space="preserve">B</w:t>
            </w:r>
          </w:p>
        </w:tc>
        <w:tc>
          <w:tcPr>
            <w:tcW w:w="2400" w:type="dxa"/>
          </w:tcPr>
          <w:p>
            <w:r>
              <w:t xml:space="preserve">120</w:t>
            </w:r>
          </w:p>
        </w:tc>
        <w:tc>
          <w:tcPr>
            <w:tcW w:w="2400" w:type="dxa"/>
          </w:tcPr>
          <w:p>
            <w:r>
              <w:t xml:space="preserve">90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75%</w:t>
            </w:r>
          </w:p>
        </w:tc>
      </w:tr>
    </w:tbl>
    <w:p>
      <w:pPr>
        <w:pStyle w:val="Heading1"/>
      </w:pPr>
      <w:r>
        <w:t xml:space="preserve">10. OR-Tools 目标函数如何选择路径</w:t>
      </w:r>
    </w:p>
    <w:p>
      <w:r>
        <w:t xml:space="preserve">ModeB 的目标函数优先减少产能缺口，其次减少超载工作中心周期数，再惩罚外包、路径变更和额外工时。</w:t>
      </w:r>
    </w:p>
    <w:p>
      <w:pPr>
        <w:pStyle w:val="Formula"/>
      </w:pPr>
      <w:r>
        <w:t xml:space="preserve">Minimize 1,000,000×Σshort + 100,000×Σoverloaded + 1,000×Σoutsource_hours + 100×Σroute_change + 10×Σextra_hours</w:t>
      </w:r>
    </w:p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惩罚项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含义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业务效果</w:t>
            </w:r>
          </w:p>
        </w:tc>
      </w:tr>
      <w:tr>
        <w:tc>
          <w:tcPr>
            <w:tcW w:w="2400" w:type="dxa"/>
          </w:tcPr>
          <w:p>
            <w:r>
              <w:t xml:space="preserve">short</w:t>
            </w:r>
          </w:p>
        </w:tc>
        <w:tc>
          <w:tcPr>
            <w:tcW w:w="2400" w:type="dxa"/>
          </w:tcPr>
          <w:p>
            <w:r>
              <w:t xml:space="preserve">优化后仍超过产能的小时</w:t>
            </w:r>
          </w:p>
        </w:tc>
        <w:tc>
          <w:tcPr>
            <w:tcW w:w="2400" w:type="dxa"/>
          </w:tcPr>
          <w:p>
            <w:r>
              <w:t xml:space="preserve">最高优先级，尽量减少超 100% 缺口。</w:t>
            </w:r>
          </w:p>
        </w:tc>
      </w:tr>
      <w:tr>
        <w:tc>
          <w:tcPr>
            <w:tcW w:w="2400" w:type="dxa"/>
          </w:tcPr>
          <w:p>
            <w:r>
              <w:t xml:space="preserve">overloaded</w:t>
            </w:r>
          </w:p>
        </w:tc>
        <w:tc>
          <w:tcPr>
            <w:tcW w:w="2400" w:type="dxa"/>
          </w:tcPr>
          <w:p>
            <w:r>
              <w:t xml:space="preserve">是否存在超载工作中心周期</w:t>
            </w:r>
          </w:p>
        </w:tc>
        <w:tc>
          <w:tcPr>
            <w:tcW w:w="2400" w:type="dxa"/>
          </w:tcPr>
          <w:p>
            <w:r>
              <w:t xml:space="preserve">同等缺口下倾向减少超载点数量。</w:t>
            </w:r>
          </w:p>
        </w:tc>
      </w:tr>
      <w:tr>
        <w:tc>
          <w:tcPr>
            <w:tcW w:w="2400" w:type="dxa"/>
          </w:tcPr>
          <w:p>
            <w:r>
              <w:t xml:space="preserve">outsource_hours</w:t>
            </w:r>
          </w:p>
        </w:tc>
        <w:tc>
          <w:tcPr>
            <w:tcW w:w="2400" w:type="dxa"/>
          </w:tcPr>
          <w:p>
            <w:r>
              <w:t xml:space="preserve">转外包释放的原工时</w:t>
            </w:r>
          </w:p>
        </w:tc>
        <w:tc>
          <w:tcPr>
            <w:tcW w:w="2400" w:type="dxa"/>
          </w:tcPr>
          <w:p>
            <w:r>
              <w:t xml:space="preserve">外包可用但不是无成本优先。</w:t>
            </w:r>
          </w:p>
        </w:tc>
      </w:tr>
      <w:tr>
        <w:tc>
          <w:tcPr>
            <w:tcW w:w="2400" w:type="dxa"/>
          </w:tcPr>
          <w:p>
            <w:r>
              <w:t xml:space="preserve">route_change</w:t>
            </w:r>
          </w:p>
        </w:tc>
        <w:tc>
          <w:tcPr>
            <w:tcW w:w="2400" w:type="dxa"/>
          </w:tcPr>
          <w:p>
            <w:r>
              <w:t xml:space="preserve">是否从原路径转移</w:t>
            </w:r>
          </w:p>
        </w:tc>
        <w:tc>
          <w:tcPr>
            <w:tcW w:w="2400" w:type="dxa"/>
          </w:tcPr>
          <w:p>
            <w:r>
              <w:t xml:space="preserve">没有必要时尽量不改路径。</w:t>
            </w:r>
          </w:p>
        </w:tc>
      </w:tr>
      <w:tr>
        <w:tc>
          <w:tcPr>
            <w:tcW w:w="2400" w:type="dxa"/>
          </w:tcPr>
          <w:p>
            <w:r>
              <w:t xml:space="preserve">extra_hours</w:t>
            </w:r>
          </w:p>
        </w:tc>
        <w:tc>
          <w:tcPr>
            <w:tcW w:w="2400" w:type="dxa"/>
          </w:tcPr>
          <w:p>
            <w:r>
              <w:t xml:space="preserve">可选路径比原路径多出的小时</w:t>
            </w:r>
          </w:p>
        </w:tc>
        <w:tc>
          <w:tcPr>
            <w:tcW w:w="2400" w:type="dxa"/>
          </w:tcPr>
          <w:p>
            <w:r>
              <w:t xml:space="preserve">同等条件下倾向工时更低路径。</w:t>
            </w:r>
          </w:p>
        </w:tc>
      </w:tr>
    </w:tbl>
    <w:p>
      <w:r>
        <w:t xml:space="preserve">例子：A 工作中心本周多出 20 小时。若某工序可以转到 B 后释放 A 20 小时，即使 B 单位工时多 2 小时，模型通常仍会选择转移，因为减少 short 的收益远高于额外工时惩罚。</w:t>
      </w:r>
    </w:p>
    <w:p>
      <w:pPr>
        <w:pStyle w:val="Heading1"/>
      </w:pPr>
      <w:r>
        <w:t xml:space="preserve">11. 可选工序和外包逻辑</w:t>
      </w:r>
    </w:p>
    <w:p>
      <w:r>
        <w:t xml:space="preserve">可选工序按物料 + 活动匹配。非外包路径必须在工作中心表中存在；可选资源组分类等于“外包”时，工具视为外包路径。</w:t>
      </w:r>
    </w:p>
    <w:p>
      <w:r>
        <w:t xml:space="preserve">外包不占用厂内工作中心产能，当前固定按 7 天日历返回。外包单位工时即使填写，也会被忽略。</w:t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规则</w:t>
            </w:r>
          </w:p>
        </w:tc>
      </w:tr>
      <w:tr>
        <w:tc>
          <w:tcPr>
            <w:tcW w:w="2400" w:type="dxa"/>
          </w:tcPr>
          <w:p>
            <w:r>
              <w:t xml:space="preserve">物料 + 活动</w:t>
            </w:r>
          </w:p>
        </w:tc>
        <w:tc>
          <w:tcPr>
            <w:tcW w:w="2400" w:type="dxa"/>
          </w:tcPr>
          <w:p>
            <w:r>
              <w:t xml:space="preserve">决定可选工序是否匹配当前工序。</w:t>
            </w:r>
          </w:p>
        </w:tc>
      </w:tr>
      <w:tr>
        <w:tc>
          <w:tcPr>
            <w:tcW w:w="2400" w:type="dxa"/>
          </w:tcPr>
          <w:p>
            <w:r>
              <w:t xml:space="preserve">可选工作中心</w:t>
            </w:r>
          </w:p>
        </w:tc>
        <w:tc>
          <w:tcPr>
            <w:tcW w:w="2400" w:type="dxa"/>
          </w:tcPr>
          <w:p>
            <w:r>
              <w:t xml:space="preserve">非外包时必须存在于工作中心表。</w:t>
            </w:r>
          </w:p>
        </w:tc>
      </w:tr>
      <w:tr>
        <w:tc>
          <w:tcPr>
            <w:tcW w:w="2400" w:type="dxa"/>
          </w:tcPr>
          <w:p>
            <w:r>
              <w:t xml:space="preserve">可选资源组分类=外包</w:t>
            </w:r>
          </w:p>
        </w:tc>
        <w:tc>
          <w:tcPr>
            <w:tcW w:w="2400" w:type="dxa"/>
          </w:tcPr>
          <w:p>
            <w:r>
              <w:t xml:space="preserve">视为外包无限产能路径。</w:t>
            </w:r>
          </w:p>
        </w:tc>
      </w:tr>
      <w:tr>
        <w:tc>
          <w:tcPr>
            <w:tcW w:w="2400" w:type="dxa"/>
          </w:tcPr>
          <w:p>
            <w:r>
              <w:t xml:space="preserve">可选单位工时</w:t>
            </w:r>
          </w:p>
        </w:tc>
        <w:tc>
          <w:tcPr>
            <w:tcW w:w="2400" w:type="dxa"/>
          </w:tcPr>
          <w:p>
            <w:r>
              <w:t xml:space="preserve">非外包路径用于计算负荷；外包路径忽略。</w:t>
            </w:r>
          </w:p>
        </w:tc>
      </w:tr>
    </w:tbl>
    <w:p>
      <w:pPr>
        <w:pStyle w:val="Heading1"/>
      </w:pPr>
      <w:r>
        <w:t xml:space="preserve">12. 热处/表处同机加逻辑</w:t>
      </w:r>
    </w:p>
    <w:p>
      <w:r>
        <w:t xml:space="preserve">当 GUI 选择“同机加逻辑”，或工序没有被识别为热处/表处，或工作中心没有维护专用参数时，热处/表处工序仍按普通工时计算。</w:t>
      </w:r>
    </w:p>
    <w:p>
      <w:pPr>
        <w:pStyle w:val="Formula"/>
      </w:pPr>
      <w:r>
        <w:t xml:space="preserve">热处/表处同机加负荷 = 订单数量 × (标准值1+标准值2+标准值3)</w:t>
      </w:r>
    </w:p>
    <w:p>
      <w:r>
        <w:t xml:space="preserve">例子：某热处理工序数量 20 件，标准值合计 0.5 小时/件，则同机加逻辑下负荷为 20×0.5=10 小时。</w:t>
      </w:r>
    </w:p>
    <w:p>
      <w:pPr>
        <w:pStyle w:val="Heading1"/>
      </w:pPr>
      <w:r>
        <w:t xml:space="preserve">13. 热处/表处批量处理逻辑（当前代码口径）</w:t>
      </w:r>
    </w:p>
    <w:p>
      <w:r>
        <w:t xml:space="preserve">当选择“热处/表处专用逻辑”，且工作中心产能计算类型为批量处理时，工具按容量占用折算炉次。当前代码口径是周期级折算，不做每炉装载清单。</w:t>
      </w:r>
    </w:p>
    <w:p>
      <w:pPr>
        <w:pStyle w:val="Formula"/>
      </w:pPr>
      <w:r>
        <w:t xml:space="preserve">容量占用 = 产品数量 × 单件容量占用</w:t>
      </w:r>
    </w:p>
    <w:p>
      <w:pPr>
        <w:pStyle w:val="Formula"/>
      </w:pPr>
      <w:r>
        <w:t xml:space="preserve">炉次 = ceil(容量占用 / 单炉容量)</w:t>
      </w:r>
    </w:p>
    <w:p>
      <w:pPr>
        <w:pStyle w:val="Formula"/>
      </w:pPr>
      <w:r>
        <w:t xml:space="preserve">批量处理负荷小时 = 炉次 × (单炉周期小时 + 装卸/准备小时)</w:t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项目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数值</w:t>
            </w:r>
          </w:p>
        </w:tc>
      </w:tr>
      <w:tr>
        <w:tc>
          <w:tcPr>
            <w:tcW w:w="2400" w:type="dxa"/>
          </w:tcPr>
          <w:p>
            <w:r>
              <w:t xml:space="preserve">产品数量</w:t>
            </w:r>
          </w:p>
        </w:tc>
        <w:tc>
          <w:tcPr>
            <w:tcW w:w="2400" w:type="dxa"/>
          </w:tcPr>
          <w:p>
            <w:r>
              <w:t xml:space="preserve">25 件</w:t>
            </w:r>
          </w:p>
        </w:tc>
      </w:tr>
      <w:tr>
        <w:tc>
          <w:tcPr>
            <w:tcW w:w="2400" w:type="dxa"/>
          </w:tcPr>
          <w:p>
            <w:r>
              <w:t xml:space="preserve">单件容量占用</w:t>
            </w:r>
          </w:p>
        </w:tc>
        <w:tc>
          <w:tcPr>
            <w:tcW w:w="2400" w:type="dxa"/>
          </w:tcPr>
          <w:p>
            <w:r>
              <w:t xml:space="preserve">1 容量单位/件</w:t>
            </w:r>
          </w:p>
        </w:tc>
      </w:tr>
      <w:tr>
        <w:tc>
          <w:tcPr>
            <w:tcW w:w="2400" w:type="dxa"/>
          </w:tcPr>
          <w:p>
            <w:r>
              <w:t xml:space="preserve">单炉容量</w:t>
            </w:r>
          </w:p>
        </w:tc>
        <w:tc>
          <w:tcPr>
            <w:tcW w:w="2400" w:type="dxa"/>
          </w:tcPr>
          <w:p>
            <w:r>
              <w:t xml:space="preserve">10 容量单位</w:t>
            </w:r>
          </w:p>
        </w:tc>
      </w:tr>
      <w:tr>
        <w:tc>
          <w:tcPr>
            <w:tcW w:w="2400" w:type="dxa"/>
          </w:tcPr>
          <w:p>
            <w:r>
              <w:t xml:space="preserve">单炉周期小时</w:t>
            </w:r>
          </w:p>
        </w:tc>
        <w:tc>
          <w:tcPr>
            <w:tcW w:w="2400" w:type="dxa"/>
          </w:tcPr>
          <w:p>
            <w:r>
              <w:t xml:space="preserve">8 小时</w:t>
            </w:r>
          </w:p>
        </w:tc>
      </w:tr>
      <w:tr>
        <w:tc>
          <w:tcPr>
            <w:tcW w:w="2400" w:type="dxa"/>
          </w:tcPr>
          <w:p>
            <w:r>
              <w:t xml:space="preserve">装卸/准备小时</w:t>
            </w:r>
          </w:p>
        </w:tc>
        <w:tc>
          <w:tcPr>
            <w:tcW w:w="2400" w:type="dxa"/>
          </w:tcPr>
          <w:p>
            <w:r>
              <w:t xml:space="preserve">0 小时</w:t>
            </w:r>
          </w:p>
        </w:tc>
      </w:tr>
      <w:tr>
        <w:tc>
          <w:tcPr>
            <w:tcW w:w="2400" w:type="dxa"/>
          </w:tcPr>
          <w:p>
            <w:r>
              <w:t xml:space="preserve">计算结果</w:t>
            </w:r>
          </w:p>
        </w:tc>
        <w:tc>
          <w:tcPr>
            <w:tcW w:w="2400" w:type="dxa"/>
          </w:tcPr>
          <w:p>
            <w:r>
              <w:t xml:space="preserve">ceil(25/10)=3 炉；负荷=3×8=24 小时</w:t>
            </w:r>
          </w:p>
        </w:tc>
      </w:tr>
    </w:tbl>
    <w:p>
      <w:r>
        <w:t xml:space="preserve">注意：近期讨论中已确认后续批量炉应改为投影面积与装载组逻辑，即容器/堆叠产品不能简单按单件有效面积均摊；该细化属于下一步规则，不在当前代码口径中完全实现。</w:t>
      </w:r>
    </w:p>
    <w:p>
      <w:pPr>
        <w:pStyle w:val="Heading1"/>
      </w:pPr>
      <w:r>
        <w:t xml:space="preserve">14. 热处/表处流水线处理逻辑（当前代码口径）</w:t>
      </w:r>
    </w:p>
    <w:p>
      <w:r>
        <w:t xml:space="preserve">流水线处理不按炉次计算，而按吞吐率计算周期负荷。单件在炉时间用于报告展示，不作为独占产能负荷。</w:t>
      </w:r>
    </w:p>
    <w:p>
      <w:pPr>
        <w:pStyle w:val="Formula"/>
      </w:pPr>
      <w:r>
        <w:t xml:space="preserve">流水线容量占用 = 产品数量 × 单件容量占用</w:t>
      </w:r>
    </w:p>
    <w:p>
      <w:pPr>
        <w:pStyle w:val="Formula"/>
      </w:pPr>
      <w:r>
        <w:t xml:space="preserve">流水线负荷小时 = 流水线容量占用 / 流水线吞吐率 + 换型时间小时</w:t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项目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数值</w:t>
            </w:r>
          </w:p>
        </w:tc>
      </w:tr>
      <w:tr>
        <w:tc>
          <w:tcPr>
            <w:tcW w:w="2400" w:type="dxa"/>
          </w:tcPr>
          <w:p>
            <w:r>
              <w:t xml:space="preserve">产品数量</w:t>
            </w:r>
          </w:p>
        </w:tc>
        <w:tc>
          <w:tcPr>
            <w:tcW w:w="2400" w:type="dxa"/>
          </w:tcPr>
          <w:p>
            <w:r>
              <w:t xml:space="preserve">200 件</w:t>
            </w:r>
          </w:p>
        </w:tc>
      </w:tr>
      <w:tr>
        <w:tc>
          <w:tcPr>
            <w:tcW w:w="2400" w:type="dxa"/>
          </w:tcPr>
          <w:p>
            <w:r>
              <w:t xml:space="preserve">单件容量占用</w:t>
            </w:r>
          </w:p>
        </w:tc>
        <w:tc>
          <w:tcPr>
            <w:tcW w:w="2400" w:type="dxa"/>
          </w:tcPr>
          <w:p>
            <w:r>
              <w:t xml:space="preserve">1 件</w:t>
            </w:r>
          </w:p>
        </w:tc>
      </w:tr>
      <w:tr>
        <w:tc>
          <w:tcPr>
            <w:tcW w:w="2400" w:type="dxa"/>
          </w:tcPr>
          <w:p>
            <w:r>
              <w:t xml:space="preserve">流水线吞吐率</w:t>
            </w:r>
          </w:p>
        </w:tc>
        <w:tc>
          <w:tcPr>
            <w:tcW w:w="2400" w:type="dxa"/>
          </w:tcPr>
          <w:p>
            <w:r>
              <w:t xml:space="preserve">50 件/小时</w:t>
            </w:r>
          </w:p>
        </w:tc>
      </w:tr>
      <w:tr>
        <w:tc>
          <w:tcPr>
            <w:tcW w:w="2400" w:type="dxa"/>
          </w:tcPr>
          <w:p>
            <w:r>
              <w:t xml:space="preserve">换型时间</w:t>
            </w:r>
          </w:p>
        </w:tc>
        <w:tc>
          <w:tcPr>
            <w:tcW w:w="2400" w:type="dxa"/>
          </w:tcPr>
          <w:p>
            <w:r>
              <w:t xml:space="preserve">0 小时</w:t>
            </w:r>
          </w:p>
        </w:tc>
      </w:tr>
      <w:tr>
        <w:tc>
          <w:tcPr>
            <w:tcW w:w="2400" w:type="dxa"/>
          </w:tcPr>
          <w:p>
            <w:r>
              <w:t xml:space="preserve">计算结果</w:t>
            </w:r>
          </w:p>
        </w:tc>
        <w:tc>
          <w:tcPr>
            <w:tcW w:w="2400" w:type="dxa"/>
          </w:tcPr>
          <w:p>
            <w:r>
              <w:t xml:space="preserve">200/50=4 小时</w:t>
            </w:r>
          </w:p>
        </w:tc>
      </w:tr>
    </w:tbl>
    <w:p>
      <w:r>
        <w:t xml:space="preserve">如果使用面积口径，吞吐率和单件容量占用必须保持同一单位。例如吞吐率为 20 平方米/小时，则单件容量占用也应维护为平方米。</w:t>
      </w:r>
    </w:p>
    <w:p>
      <w:pPr>
        <w:pStyle w:val="Heading1"/>
      </w:pPr>
      <w:r>
        <w:t xml:space="preserve">15. ModeA 和 ModeB 的区别</w:t>
      </w:r>
    </w:p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项目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ModeA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ModeB</w:t>
            </w:r>
          </w:p>
        </w:tc>
      </w:tr>
      <w:tr>
        <w:tc>
          <w:tcPr>
            <w:tcW w:w="2400" w:type="dxa"/>
          </w:tcPr>
          <w:p>
            <w:r>
              <w:t xml:space="preserve">定位</w:t>
            </w:r>
          </w:p>
        </w:tc>
        <w:tc>
          <w:tcPr>
            <w:tcW w:w="2400" w:type="dxa"/>
          </w:tcPr>
          <w:p>
            <w:r>
              <w:t xml:space="preserve">无限产能压力分析</w:t>
            </w:r>
          </w:p>
        </w:tc>
        <w:tc>
          <w:tcPr>
            <w:tcW w:w="2400" w:type="dxa"/>
          </w:tcPr>
          <w:p>
            <w:r>
              <w:t xml:space="preserve">100%产能优化建议</w:t>
            </w:r>
          </w:p>
        </w:tc>
      </w:tr>
      <w:tr>
        <w:tc>
          <w:tcPr>
            <w:tcW w:w="2400" w:type="dxa"/>
          </w:tcPr>
          <w:p>
            <w:r>
              <w:t xml:space="preserve">是否使用 OR-Tools</w:t>
            </w:r>
          </w:p>
        </w:tc>
        <w:tc>
          <w:tcPr>
            <w:tcW w:w="2400" w:type="dxa"/>
          </w:tcPr>
          <w:p>
            <w:r>
              <w:t xml:space="preserve">不使用</w:t>
            </w:r>
          </w:p>
        </w:tc>
        <w:tc>
          <w:tcPr>
            <w:tcW w:w="2400" w:type="dxa"/>
          </w:tcPr>
          <w:p>
            <w:r>
              <w:t xml:space="preserve">使用 CP-SAT 整数优化</w:t>
            </w:r>
          </w:p>
        </w:tc>
      </w:tr>
      <w:tr>
        <w:tc>
          <w:tcPr>
            <w:tcW w:w="2400" w:type="dxa"/>
          </w:tcPr>
          <w:p>
            <w:r>
              <w:t xml:space="preserve">是否考虑可选工序</w:t>
            </w:r>
          </w:p>
        </w:tc>
        <w:tc>
          <w:tcPr>
            <w:tcW w:w="2400" w:type="dxa"/>
          </w:tcPr>
          <w:p>
            <w:r>
              <w:t xml:space="preserve">不优化选择</w:t>
            </w:r>
          </w:p>
        </w:tc>
        <w:tc>
          <w:tcPr>
            <w:tcW w:w="2400" w:type="dxa"/>
          </w:tcPr>
          <w:p>
            <w:r>
              <w:t xml:space="preserve">原路径、可选路径、外包一起优化</w:t>
            </w:r>
          </w:p>
        </w:tc>
      </w:tr>
      <w:tr>
        <w:tc>
          <w:tcPr>
            <w:tcW w:w="2400" w:type="dxa"/>
          </w:tcPr>
          <w:p>
            <w:r>
              <w:t xml:space="preserve">是否允许超过100%</w:t>
            </w:r>
          </w:p>
        </w:tc>
        <w:tc>
          <w:tcPr>
            <w:tcW w:w="2400" w:type="dxa"/>
          </w:tcPr>
          <w:p>
            <w:r>
              <w:t xml:space="preserve">允许，用于识别瓶颈</w:t>
            </w:r>
          </w:p>
        </w:tc>
        <w:tc>
          <w:tcPr>
            <w:tcW w:w="2400" w:type="dxa"/>
          </w:tcPr>
          <w:p>
            <w:r>
              <w:t xml:space="preserve">优化后仍可超过100%，但报告输出缺口和建议</w:t>
            </w:r>
          </w:p>
        </w:tc>
      </w:tr>
      <w:tr>
        <w:tc>
          <w:tcPr>
            <w:tcW w:w="2400" w:type="dxa"/>
          </w:tcPr>
          <w:p>
            <w:r>
              <w:t xml:space="preserve">输出重点</w:t>
            </w:r>
          </w:p>
        </w:tc>
        <w:tc>
          <w:tcPr>
            <w:tcW w:w="2400" w:type="dxa"/>
          </w:tcPr>
          <w:p>
            <w:r>
              <w:t xml:space="preserve">瓶颈、负荷率、无限产能缺口</w:t>
            </w:r>
          </w:p>
        </w:tc>
        <w:tc>
          <w:tcPr>
            <w:tcW w:w="2400" w:type="dxa"/>
          </w:tcPr>
          <w:p>
            <w:r>
              <w:t xml:space="preserve">优化后负荷、分流、外包、加班/设备建议、订单工序分配</w:t>
            </w:r>
          </w:p>
        </w:tc>
      </w:tr>
    </w:tbl>
    <w:p>
      <w:r>
        <w:t xml:space="preserve">例子：某周 A 工作中心产能 100 小时，ModeA 倒排负荷 180 小时，负荷率 180%。ModeB 发现其中 50 小时可转到 B，20 小时可外包，则优化后 A 负荷为 110 小时，仍超 10 小时。报告会显示 A 优化后负荷率 110%，并给出 10 小时的补产能建议。</w:t>
      </w:r>
    </w:p>
    <w:p>
      <w:pPr>
        <w:pStyle w:val="Heading1"/>
      </w:pPr>
      <w:r>
        <w:t xml:space="preserve">16. 报告口径和检查方法</w:t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报告页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用途</w:t>
            </w:r>
          </w:p>
        </w:tc>
      </w:tr>
      <w:tr>
        <w:tc>
          <w:tcPr>
            <w:tcW w:w="2400" w:type="dxa"/>
          </w:tcPr>
          <w:p>
            <w:r>
              <w:t xml:space="preserve">仪表板</w:t>
            </w:r>
          </w:p>
        </w:tc>
        <w:tc>
          <w:tcPr>
            <w:tcW w:w="2400" w:type="dxa"/>
          </w:tcPr>
          <w:p>
            <w:r>
              <w:t xml:space="preserve">汇总模式、周期、瓶颈、缺口和运行信息。</w:t>
            </w:r>
          </w:p>
        </w:tc>
      </w:tr>
      <w:tr>
        <w:tc>
          <w:tcPr>
            <w:tcW w:w="2400" w:type="dxa"/>
          </w:tcPr>
          <w:p>
            <w:r>
              <w:t xml:space="preserve">周度/月度产能分析</w:t>
            </w:r>
          </w:p>
        </w:tc>
        <w:tc>
          <w:tcPr>
            <w:tcW w:w="2400" w:type="dxa"/>
          </w:tcPr>
          <w:p>
            <w:r>
              <w:t xml:space="preserve">按工作中心和周期展示原始/优化后负荷、产能、缺口和建议。</w:t>
            </w:r>
          </w:p>
        </w:tc>
      </w:tr>
      <w:tr>
        <w:tc>
          <w:tcPr>
            <w:tcW w:w="2400" w:type="dxa"/>
          </w:tcPr>
          <w:p>
            <w:r>
              <w:t xml:space="preserve">瓶颈分析</w:t>
            </w:r>
          </w:p>
        </w:tc>
        <w:tc>
          <w:tcPr>
            <w:tcW w:w="2400" w:type="dxa"/>
          </w:tcPr>
          <w:p>
            <w:r>
              <w:t xml:space="preserve">基于负荷率识别瓶颈工作中心。</w:t>
            </w:r>
          </w:p>
        </w:tc>
      </w:tr>
      <w:tr>
        <w:tc>
          <w:tcPr>
            <w:tcW w:w="2400" w:type="dxa"/>
          </w:tcPr>
          <w:p>
            <w:r>
              <w:t xml:space="preserve">工作中心热力图</w:t>
            </w:r>
          </w:p>
        </w:tc>
        <w:tc>
          <w:tcPr>
            <w:tcW w:w="2400" w:type="dxa"/>
          </w:tcPr>
          <w:p>
            <w:r>
              <w:t xml:space="preserve">以周期为列展示负荷率和负荷小时。</w:t>
            </w:r>
          </w:p>
        </w:tc>
      </w:tr>
      <w:tr>
        <w:tc>
          <w:tcPr>
            <w:tcW w:w="2400" w:type="dxa"/>
          </w:tcPr>
          <w:p>
            <w:r>
              <w:t xml:space="preserve">订单工序分配明细</w:t>
            </w:r>
          </w:p>
        </w:tc>
        <w:tc>
          <w:tcPr>
            <w:tcW w:w="2400" w:type="dxa"/>
          </w:tcPr>
          <w:p>
            <w:r>
              <w:t xml:space="preserve">按订单、物料、活动展示每道工序如何被分配。</w:t>
            </w:r>
          </w:p>
        </w:tc>
      </w:tr>
      <w:tr>
        <w:tc>
          <w:tcPr>
            <w:tcW w:w="2400" w:type="dxa"/>
          </w:tcPr>
          <w:p>
            <w:r>
              <w:t xml:space="preserve">可选工序分流分析</w:t>
            </w:r>
          </w:p>
        </w:tc>
        <w:tc>
          <w:tcPr>
            <w:tcW w:w="2400" w:type="dxa"/>
          </w:tcPr>
          <w:p>
            <w:r>
              <w:t xml:space="preserve">只展示发生路径变化或外包的分流行。</w:t>
            </w:r>
          </w:p>
        </w:tc>
      </w:tr>
      <w:tr>
        <w:tc>
          <w:tcPr>
            <w:tcW w:w="2400" w:type="dxa"/>
          </w:tcPr>
          <w:p>
            <w:r>
              <w:t xml:space="preserve">OR-Tools本次求解规模</w:t>
            </w:r>
          </w:p>
        </w:tc>
        <w:tc>
          <w:tcPr>
            <w:tcW w:w="2400" w:type="dxa"/>
          </w:tcPr>
          <w:p>
            <w:r>
              <w:t xml:space="preserve">展示变量数、周期数、工作中心数、求解状态和耗时。</w:t>
            </w:r>
          </w:p>
        </w:tc>
      </w:tr>
      <w:tr>
        <w:tc>
          <w:tcPr>
            <w:tcW w:w="2400" w:type="dxa"/>
          </w:tcPr>
          <w:p>
            <w:r>
              <w:t xml:space="preserve">热处表处产能分析</w:t>
            </w:r>
          </w:p>
        </w:tc>
        <w:tc>
          <w:tcPr>
            <w:tcW w:w="2400" w:type="dxa"/>
          </w:tcPr>
          <w:p>
            <w:r>
              <w:t xml:space="preserve">专用逻辑下展示炉次、容量占用、吞吐率等周期级指标。</w:t>
            </w:r>
          </w:p>
        </w:tc>
      </w:tr>
    </w:tbl>
    <w:p>
      <w:r>
        <w:t xml:space="preserve">检查某个工作中心结果是否合理时，可以手工用同周期、同工作中心的优化后负荷小时除以周期产能小时。如果结果大于 1，说明报告中的负荷率超过 100%，缺口应等于优化后负荷小时减周期产能小时。</w:t>
      </w:r>
    </w:p>
    <w:p>
      <w:pPr>
        <w:pStyle w:val="Formula"/>
      </w:pPr>
      <w:r>
        <w:t xml:space="preserve">优化后负荷率 = 优化后负荷小时 / 周期产能小时</w:t>
      </w:r>
    </w:p>
    <w:p>
      <w:pPr>
        <w:pStyle w:val="Formula"/>
      </w:pPr>
      <w:r>
        <w:t xml:space="preserve">优化后缺口小时 = max(优化后负荷小时 - 周期产能小时, 0)</w:t>
      </w:r>
    </w:p>
    <w:p>
      <w:pPr>
        <w:pStyle w:val="Heading1"/>
      </w:pPr>
      <w:r>
        <w:t xml:space="preserve">17. 当前模型没有做什么</w:t>
      </w:r>
    </w:p>
    <w:p>
      <w:pPr>
        <w:pStyle w:val="ListBullet"/>
      </w:pPr>
      <w:r>
        <w:t xml:space="preserve">不输出车间执行排程，不给出每台设备、每一炉、每一件产品的具体开始结束时间。</w:t>
      </w:r>
    </w:p>
    <w:p>
      <w:pPr>
        <w:pStyle w:val="ListBullet"/>
      </w:pPr>
      <w:r>
        <w:t xml:space="preserve">不做真实二维装炉摆放，也不判断形状是否一定能摆下。</w:t>
      </w:r>
    </w:p>
    <w:p>
      <w:pPr>
        <w:pStyle w:val="ListBullet"/>
      </w:pPr>
      <w:r>
        <w:t xml:space="preserve">不做跨周期自动合炉；当前周期内尾数按当前周期负荷体现。</w:t>
      </w:r>
    </w:p>
    <w:p>
      <w:pPr>
        <w:pStyle w:val="ListBullet"/>
      </w:pPr>
      <w:r>
        <w:t xml:space="preserve">不自动根据 Excel 行顺序决定优先级。</w:t>
      </w:r>
    </w:p>
    <w:p>
      <w:pPr>
        <w:pStyle w:val="ListBullet"/>
      </w:pPr>
      <w:r>
        <w:t xml:space="preserve">不在当前代码中完整实现升温、保温、降温曲线兼容判断；目前热处/表处兼容更多依赖工艺组或工艺时间字段的后续维护。</w:t>
      </w:r>
    </w:p>
    <w:p>
      <w:pPr>
        <w:pStyle w:val="ListBullet"/>
      </w:pPr>
      <w:r>
        <w:t xml:space="preserve">不模拟外包供应商产能、外包成本上限或供应商日历。</w:t>
      </w:r>
    </w:p>
    <w:p>
      <w:r>
        <w:t xml:space="preserve">这些限制并不是错误，而是为了保持工具定位在“产能优化及建议”，避免变成复杂 APS 执行排程系统。</w:t>
      </w:r>
    </w:p>
    <w:sectPr>
      <w:pgSz w:w="12240" w:h="15840"/>
      <w:pgMar w:top="1080" w:right="1080" w:bottom="1080" w:left="1080" w:header="720" w:footer="720" w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300" w:lineRule="auto"/>
    </w:pPr>
    <w:rPr>
      <w:rFonts w:ascii="Arial" w:hAnsi="Arial" w:eastAsia="Microsoft YaHei"/>
      <w:sz w:val="21"/>
    </w:rPr>
  </w:style>
  <w:style w:type="paragraph" w:styleId="Title">
    <w:name w:val="Title"/>
    <w:pPr>
      <w:spacing w:after="240"/>
    </w:pPr>
    <w:rPr>
      <w:rFonts w:ascii="Arial" w:hAnsi="Arial" w:eastAsia="Microsoft YaHei"/>
      <w:b/>
      <w:sz w:val="38"/>
      <w:color w:val="1F4E79"/>
    </w:rPr>
  </w:style>
  <w:style w:type="paragraph" w:styleId="Heading1">
    <w:name w:val="heading 1"/>
    <w:basedOn w:val="Normal"/>
    <w:pPr>
      <w:keepNext/>
      <w:spacing w:before="260" w:after="140"/>
    </w:pPr>
    <w:rPr>
      <w:rFonts w:ascii="Arial" w:hAnsi="Arial" w:eastAsia="Microsoft YaHei"/>
      <w:b/>
      <w:sz w:val="28"/>
      <w:color w:val="1F4E79"/>
    </w:rPr>
  </w:style>
  <w:style w:type="paragraph" w:styleId="ListBullet">
    <w:name w:val="List Bullet"/>
    <w:basedOn w:val="Normal"/>
    <w:pPr>
      <w:ind w:left="420" w:hanging="240"/>
    </w:pPr>
    <w:rPr>
      <w:rFonts w:ascii="Arial" w:hAnsi="Arial" w:eastAsia="Microsoft YaHei"/>
      <w:sz w:val="21"/>
    </w:rPr>
  </w:style>
  <w:style w:type="paragraph" w:styleId="Formula">
    <w:name w:val="Formula"/>
    <w:basedOn w:val="Normal"/>
    <w:pPr>
      <w:spacing w:before="60" w:after="100"/>
      <w:ind w:left="360"/>
    </w:pPr>
    <w:rPr>
      <w:rFonts w:ascii="Consolas" w:hAnsi="Consolas" w:eastAsia="Microsoft YaHei"/>
      <w:sz w:val="20"/>
      <w:color w:val="404040"/>
    </w:r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90" w:type="dxa"/>
        <w:left w:w="90" w:type="dxa"/>
        <w:bottom w:w="90" w:type="dxa"/>
        <w:right w:w="90" w:type="dxa"/>
      </w:tblCellMar>
    </w:tblPr>
  </w:style>
</w:styles>
</file>

<file path=word/_rels/document.xml.rels><?xml version="1.0" encoding="UTF-8" standalone="yes"?>
<Relationships xmlns="http://schemas.openxmlformats.org/package/2006/relationships"/>
</file>