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rPr/>
      </w:pPr>
      <w:r>
        <w:rPr/>
        <w:t>Ling 572</w:t>
        <w:tab/>
        <w:t>HW3</w:t>
      </w:r>
    </w:p>
    <w:p>
      <w:pPr>
        <w:pStyle w:val="style0"/>
        <w:spacing w:line="360" w:lineRule="auto"/>
        <w:jc w:val="center"/>
        <w:rPr/>
      </w:pPr>
      <w:r>
        <w:rPr/>
        <w:t>Michael Roylance, Olga Whelan</w:t>
      </w:r>
    </w:p>
    <w:p>
      <w:pPr>
        <w:pStyle w:val="style0"/>
        <w:spacing w:line="360" w:lineRule="auto"/>
        <w:jc w:val="center"/>
        <w:rPr/>
      </w:pPr>
      <w:r>
        <w:rPr/>
      </w:r>
    </w:p>
    <w:p>
      <w:pPr>
        <w:pStyle w:val="style0"/>
        <w:spacing w:line="360" w:lineRule="auto"/>
        <w:rPr/>
      </w:pPr>
      <w:r>
        <w:rPr>
          <w:b/>
          <w:bCs/>
        </w:rPr>
        <w:t>Q1</w:t>
      </w:r>
      <w:r>
        <w:rPr/>
        <w:tab/>
        <w:t>train accuracy mean = 0.9444444444444444</w:t>
      </w:r>
    </w:p>
    <w:p>
      <w:pPr>
        <w:pStyle w:val="style0"/>
        <w:spacing w:line="360" w:lineRule="auto"/>
        <w:rPr/>
      </w:pPr>
      <w:r>
        <w:rPr/>
        <w:tab/>
        <w:t>test accuracy mean = 0.8966666666666666</w:t>
      </w:r>
    </w:p>
    <w:p>
      <w:pPr>
        <w:pStyle w:val="style0"/>
        <w:spacing w:line="360" w:lineRule="auto"/>
        <w:rPr/>
      </w:pPr>
      <w:r>
        <w:rPr/>
      </w:r>
    </w:p>
    <w:p>
      <w:pPr>
        <w:pStyle w:val="style0"/>
        <w:spacing w:line="360" w:lineRule="auto"/>
        <w:rPr/>
      </w:pPr>
      <w:r>
        <w:rPr>
          <w:b/>
          <w:bCs/>
        </w:rPr>
        <w:t>Q3</w:t>
      </w:r>
      <w:r>
        <w:rPr/>
        <w:tab/>
      </w:r>
    </w:p>
    <w:tbl>
      <w:tblPr>
        <w:jc w:val="left"/>
        <w:tblInd w:type="dxa" w:w="76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2"/>
          <w:bottom w:type="dxa" w:w="55"/>
          <w:right w:type="dxa" w:w="55"/>
        </w:tblCellMar>
      </w:tblPr>
      <w:tblGrid>
        <w:gridCol w:w="1735"/>
        <w:gridCol w:w="3754"/>
        <w:gridCol w:w="3760"/>
      </w:tblGrid>
      <w:tr>
        <w:trPr>
          <w:cantSplit w:val="false"/>
        </w:trPr>
        <w:tc>
          <w:tcPr>
            <w:tcW w:type="dxa" w:w="1735"/>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cond_prob_delta</w:t>
            </w:r>
          </w:p>
        </w:tc>
        <w:tc>
          <w:tcPr>
            <w:tcW w:type="dxa" w:w="3754"/>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Training accuracy</w:t>
            </w:r>
          </w:p>
        </w:tc>
        <w:tc>
          <w:tcPr>
            <w:tcW w:type="dxa" w:w="3760"/>
            <w:tcBorders>
              <w:top w:color="000001" w:space="0" w:sz="2" w:val="single"/>
              <w:left w:color="000001" w:space="0" w:sz="2" w:val="single"/>
              <w:bottom w:color="000001" w:space="0" w:sz="2" w:val="single"/>
              <w:right w:color="000001" w:space="0" w:sz="2" w:val="single"/>
            </w:tcBorders>
            <w:shd w:fill="FFFFFF" w:val="clear"/>
            <w:tcMar>
              <w:left w:type="dxa" w:w="42"/>
            </w:tcMar>
          </w:tcPr>
          <w:p>
            <w:pPr>
              <w:pStyle w:val="style20"/>
              <w:jc w:val="center"/>
              <w:rPr/>
            </w:pPr>
            <w:r>
              <w:rPr/>
              <w:t>Test accuracy</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0.1</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0.930740740741</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0.88</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0.5</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0.910740740741</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0.863333333333</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1.0</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0.897407407407</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0.84</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2.0</w:t>
            </w:r>
          </w:p>
        </w:tc>
        <w:tc>
          <w:tcPr>
            <w:tcW w:type="dxa" w:w="3754"/>
            <w:tcBorders>
              <w:top w:val="nil"/>
              <w:left w:color="000001" w:space="0" w:sz="2" w:val="single"/>
              <w:bottom w:color="000001" w:space="0" w:sz="2" w:val="single"/>
              <w:right w:val="nil"/>
            </w:tcBorders>
            <w:shd w:fill="FFFFFF" w:val="clear"/>
            <w:tcMar>
              <w:left w:type="dxa" w:w="42"/>
            </w:tcMar>
          </w:tcPr>
          <w:p>
            <w:pPr>
              <w:pStyle w:val="style20"/>
              <w:rPr/>
            </w:pPr>
            <w:r>
              <w:rPr/>
              <w:t>0.879259259259</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rPr/>
            </w:pPr>
            <w:r>
              <w:rPr/>
              <w:t>0.823333333333</w:t>
            </w:r>
          </w:p>
        </w:tc>
      </w:tr>
    </w:tbl>
    <w:p>
      <w:pPr>
        <w:pStyle w:val="style0"/>
        <w:spacing w:line="360" w:lineRule="auto"/>
        <w:rPr/>
      </w:pPr>
      <w:r>
        <w:rPr/>
      </w:r>
    </w:p>
    <w:p>
      <w:pPr>
        <w:pStyle w:val="style0"/>
        <w:spacing w:line="360" w:lineRule="auto"/>
        <w:rPr/>
      </w:pPr>
      <w:r>
        <w:rPr>
          <w:b/>
          <w:bCs/>
        </w:rPr>
        <w:t>Q4</w:t>
      </w:r>
      <w:r>
        <w:rPr/>
        <w:tab/>
      </w:r>
    </w:p>
    <w:tbl>
      <w:tblPr>
        <w:jc w:val="left"/>
        <w:tblInd w:type="dxa" w:w="76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2"/>
          <w:bottom w:type="dxa" w:w="55"/>
          <w:right w:type="dxa" w:w="55"/>
        </w:tblCellMar>
      </w:tblPr>
      <w:tblGrid>
        <w:gridCol w:w="1735"/>
        <w:gridCol w:w="3754"/>
        <w:gridCol w:w="3760"/>
      </w:tblGrid>
      <w:tr>
        <w:trPr>
          <w:cantSplit w:val="false"/>
        </w:trPr>
        <w:tc>
          <w:tcPr>
            <w:tcW w:type="dxa" w:w="1735"/>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cond_prob_delta</w:t>
            </w:r>
          </w:p>
        </w:tc>
        <w:tc>
          <w:tcPr>
            <w:tcW w:type="dxa" w:w="3754"/>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Training accuracy</w:t>
            </w:r>
          </w:p>
        </w:tc>
        <w:tc>
          <w:tcPr>
            <w:tcW w:type="dxa" w:w="3760"/>
            <w:tcBorders>
              <w:top w:color="000001" w:space="0" w:sz="2" w:val="single"/>
              <w:left w:color="000001" w:space="0" w:sz="2" w:val="single"/>
              <w:bottom w:color="000001" w:space="0" w:sz="2" w:val="single"/>
              <w:right w:color="000001" w:space="0" w:sz="2" w:val="single"/>
            </w:tcBorders>
            <w:shd w:fill="FFFFFF" w:val="clear"/>
            <w:tcMar>
              <w:left w:type="dxa" w:w="42"/>
            </w:tcMar>
          </w:tcPr>
          <w:p>
            <w:pPr>
              <w:pStyle w:val="style20"/>
              <w:jc w:val="center"/>
              <w:rPr/>
            </w:pPr>
            <w:r>
              <w:rPr/>
              <w:t>Test accuracy</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0.1</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0.957777777778</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0.91</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0.5</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0.950740740741</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0.91</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1.0</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0.944814814815</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0.893333333333</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2.0</w:t>
            </w:r>
          </w:p>
        </w:tc>
        <w:tc>
          <w:tcPr>
            <w:tcW w:type="dxa" w:w="3754"/>
            <w:tcBorders>
              <w:top w:val="nil"/>
              <w:left w:color="000001" w:space="0" w:sz="2" w:val="single"/>
              <w:bottom w:color="000001" w:space="0" w:sz="2" w:val="single"/>
              <w:right w:val="nil"/>
            </w:tcBorders>
            <w:shd w:fill="FFFFFF" w:val="clear"/>
            <w:tcMar>
              <w:left w:type="dxa" w:w="42"/>
            </w:tcMar>
          </w:tcPr>
          <w:p>
            <w:pPr>
              <w:pStyle w:val="style20"/>
              <w:rPr/>
            </w:pPr>
            <w:r>
              <w:rPr/>
              <w:t>0.935555555556</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rPr/>
            </w:pPr>
            <w:r>
              <w:rPr/>
              <w:t>0.89</w:t>
            </w:r>
          </w:p>
        </w:tc>
      </w:tr>
    </w:tbl>
    <w:p>
      <w:pPr>
        <w:pStyle w:val="style0"/>
        <w:spacing w:line="360" w:lineRule="auto"/>
        <w:rPr/>
      </w:pPr>
      <w:r>
        <w:rPr/>
      </w:r>
    </w:p>
    <w:p>
      <w:pPr>
        <w:pStyle w:val="style0"/>
        <w:spacing w:line="360" w:lineRule="auto"/>
        <w:rPr/>
      </w:pPr>
      <w:r>
        <w:rPr>
          <w:b/>
          <w:bCs/>
        </w:rPr>
        <w:t>Q5</w:t>
      </w:r>
      <w:r>
        <w:rPr/>
        <w:tab/>
      </w:r>
    </w:p>
    <w:tbl>
      <w:tblPr>
        <w:jc w:val="left"/>
        <w:tblInd w:type="dxa" w:w="76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2"/>
          <w:bottom w:type="dxa" w:w="55"/>
          <w:right w:type="dxa" w:w="55"/>
        </w:tblCellMar>
      </w:tblPr>
      <w:tblGrid>
        <w:gridCol w:w="1735"/>
        <w:gridCol w:w="3754"/>
        <w:gridCol w:w="3760"/>
      </w:tblGrid>
      <w:tr>
        <w:trPr>
          <w:cantSplit w:val="false"/>
        </w:trPr>
        <w:tc>
          <w:tcPr>
            <w:tcW w:type="dxa" w:w="1735"/>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cond_prob_delta</w:t>
            </w:r>
          </w:p>
        </w:tc>
        <w:tc>
          <w:tcPr>
            <w:tcW w:type="dxa" w:w="3754"/>
            <w:tcBorders>
              <w:top w:color="000001" w:space="0" w:sz="2" w:val="single"/>
              <w:left w:color="000001" w:space="0" w:sz="2" w:val="single"/>
              <w:bottom w:color="000001" w:space="0" w:sz="2" w:val="single"/>
              <w:right w:val="nil"/>
            </w:tcBorders>
            <w:shd w:fill="FFFFFF" w:val="clear"/>
            <w:tcMar>
              <w:left w:type="dxa" w:w="42"/>
            </w:tcMar>
          </w:tcPr>
          <w:p>
            <w:pPr>
              <w:pStyle w:val="style20"/>
              <w:jc w:val="center"/>
              <w:rPr/>
            </w:pPr>
            <w:r>
              <w:rPr/>
              <w:t>Training accuracy</w:t>
            </w:r>
          </w:p>
        </w:tc>
        <w:tc>
          <w:tcPr>
            <w:tcW w:type="dxa" w:w="3760"/>
            <w:tcBorders>
              <w:top w:color="000001" w:space="0" w:sz="2" w:val="single"/>
              <w:left w:color="000001" w:space="0" w:sz="2" w:val="single"/>
              <w:bottom w:color="000001" w:space="0" w:sz="2" w:val="single"/>
              <w:right w:color="000001" w:space="0" w:sz="2" w:val="single"/>
            </w:tcBorders>
            <w:shd w:fill="FFFFFF" w:val="clear"/>
            <w:tcMar>
              <w:left w:type="dxa" w:w="42"/>
            </w:tcMar>
          </w:tcPr>
          <w:p>
            <w:pPr>
              <w:pStyle w:val="style20"/>
              <w:jc w:val="center"/>
              <w:rPr/>
            </w:pPr>
            <w:r>
              <w:rPr/>
              <w:t>Test accuracy</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0.1</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0.95962962963</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0.903333333333</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0.5</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0.956666666667</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0.903333333333</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1.0</w:t>
            </w:r>
          </w:p>
        </w:tc>
        <w:tc>
          <w:tcPr>
            <w:tcW w:type="dxa" w:w="3754"/>
            <w:tcBorders>
              <w:top w:val="nil"/>
              <w:left w:color="000001" w:space="0" w:sz="2" w:val="single"/>
              <w:bottom w:color="000001" w:space="0" w:sz="2" w:val="single"/>
              <w:right w:val="nil"/>
            </w:tcBorders>
            <w:shd w:fill="FFFFFF" w:val="clear"/>
            <w:tcMar>
              <w:left w:type="dxa" w:w="42"/>
            </w:tcMar>
          </w:tcPr>
          <w:p>
            <w:pPr>
              <w:pStyle w:val="style20"/>
              <w:jc w:val="left"/>
              <w:rPr/>
            </w:pPr>
            <w:r>
              <w:rPr/>
              <w:t>0.952962962963</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jc w:val="left"/>
              <w:rPr/>
            </w:pPr>
            <w:r>
              <w:rPr/>
              <w:t>0.896666666667</w:t>
            </w:r>
          </w:p>
        </w:tc>
      </w:tr>
      <w:tr>
        <w:trPr>
          <w:cantSplit w:val="false"/>
        </w:trPr>
        <w:tc>
          <w:tcPr>
            <w:tcW w:type="dxa" w:w="1735"/>
            <w:tcBorders>
              <w:top w:val="nil"/>
              <w:left w:color="000001" w:space="0" w:sz="2" w:val="single"/>
              <w:bottom w:color="000001" w:space="0" w:sz="2" w:val="single"/>
              <w:right w:val="nil"/>
            </w:tcBorders>
            <w:shd w:fill="FFFFFF" w:val="clear"/>
            <w:tcMar>
              <w:left w:type="dxa" w:w="42"/>
            </w:tcMar>
          </w:tcPr>
          <w:p>
            <w:pPr>
              <w:pStyle w:val="style20"/>
              <w:jc w:val="right"/>
              <w:rPr/>
            </w:pPr>
            <w:r>
              <w:rPr/>
              <w:t>2.0</w:t>
            </w:r>
          </w:p>
        </w:tc>
        <w:tc>
          <w:tcPr>
            <w:tcW w:type="dxa" w:w="3754"/>
            <w:tcBorders>
              <w:top w:val="nil"/>
              <w:left w:color="000001" w:space="0" w:sz="2" w:val="single"/>
              <w:bottom w:color="000001" w:space="0" w:sz="2" w:val="single"/>
              <w:right w:val="nil"/>
            </w:tcBorders>
            <w:shd w:fill="FFFFFF" w:val="clear"/>
            <w:tcMar>
              <w:left w:type="dxa" w:w="42"/>
            </w:tcMar>
          </w:tcPr>
          <w:p>
            <w:pPr>
              <w:pStyle w:val="style20"/>
              <w:rPr/>
            </w:pPr>
            <w:r>
              <w:rPr/>
              <w:t>0.945185185185</w:t>
            </w:r>
          </w:p>
        </w:tc>
        <w:tc>
          <w:tcPr>
            <w:tcW w:type="dxa" w:w="3760"/>
            <w:tcBorders>
              <w:top w:val="nil"/>
              <w:left w:color="000001" w:space="0" w:sz="2" w:val="single"/>
              <w:bottom w:color="000001" w:space="0" w:sz="2" w:val="single"/>
              <w:right w:color="000001" w:space="0" w:sz="2" w:val="single"/>
            </w:tcBorders>
            <w:shd w:fill="FFFFFF" w:val="clear"/>
            <w:tcMar>
              <w:left w:type="dxa" w:w="42"/>
            </w:tcMar>
          </w:tcPr>
          <w:p>
            <w:pPr>
              <w:pStyle w:val="style20"/>
              <w:rPr/>
            </w:pPr>
            <w:r>
              <w:rPr/>
              <w:t>0.896666666667</w:t>
            </w:r>
          </w:p>
        </w:tc>
      </w:tr>
    </w:tbl>
    <w:p>
      <w:pPr>
        <w:pStyle w:val="style0"/>
        <w:spacing w:line="360" w:lineRule="auto"/>
        <w:rPr/>
      </w:pPr>
      <w:r>
        <w:rPr/>
      </w:r>
    </w:p>
    <w:p>
      <w:pPr>
        <w:pStyle w:val="style0"/>
        <w:spacing w:after="86" w:before="86" w:line="360" w:lineRule="auto"/>
        <w:contextualSpacing w:val="false"/>
        <w:rPr>
          <w:b w:val="false"/>
          <w:bCs w:val="false"/>
        </w:rPr>
      </w:pPr>
      <w:r>
        <w:rPr>
          <w:b/>
          <w:bCs/>
        </w:rPr>
        <w:t>Q6</w:t>
      </w:r>
      <w:r>
        <w:rPr>
          <w:b w:val="false"/>
          <w:bCs w:val="false"/>
        </w:rPr>
        <w:tab/>
        <w:t xml:space="preserve">(a) First, we can see that Multinomial NB does better than Bernoulli NB, both in training and testing. Possibly this is because Bernoulli performs worse while classifying relatively long documents, mainly because it does not account for multiple occurrences of the words. </w:t>
        <w:br/>
        <w:tab/>
        <w:t xml:space="preserve">Second observation is that binarized Multinomial does </w:t>
      </w:r>
      <w:r>
        <w:rPr>
          <w:b w:val="false"/>
          <w:bCs w:val="false"/>
        </w:rPr>
        <w:t>even better than</w:t>
      </w:r>
      <w:r>
        <w:rPr>
          <w:b w:val="false"/>
          <w:bCs w:val="false"/>
        </w:rPr>
        <w:t xml:space="preserve"> non-binarized. Although it only uses binary features as well as Bernoulli, it can be seen that the two algorithms produce significantly different results.</w:t>
        <w:br/>
        <w:tab/>
        <w:t xml:space="preserve">Third, for Bernoulli NB accuracy drops as the smoothing delta grows. This happens in Multinomial NB too, but it is much faster for Bernoulli, maybe because Bernoulli is more sensitive to noisy features. </w:t>
        <w:br/>
        <w:tab/>
        <w:t>(b) Not really. Although some features have a noticeably higher probability than the others, they still differ only by order of 10-100, rarely 1000.</w:t>
        <w:br/>
        <w:tab/>
        <w:t>(c) Yes. The more frequent a feature is in the class, the more important it becomes. Important features that were encountered in the class a lot of times, have a much higher probability than the rest, usually by order of 10^5-10^6.</w:t>
        <w:br/>
        <w:tab/>
        <w:t>(d) Bernoulli NB runs considerably slower than Multinomial NB. This is because for each tested document Bernoulli has to calculate the probability over every feature in the class as well as for every feature not in the class (i.e. it takes into account the non-occurring terms within the document). Multinomial is faster because it is only concerned with the features found in the document.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2015-01-21T12:16:33Z</dcterms:created>
  <dc:creator>Olga W</dc:creator>
  <cp:revision>0</cp:revision>
</cp:coreProperties>
</file>