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投资收益来自哪里？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长期投资主要是 股息率与盈利的增长率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估值水平的增加，但长期看估值是中性的，所以投资收益的不确定性高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下跌的几个原因</w:t>
      </w:r>
    </w:p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杀估值 ：市场情绪</w:t>
      </w:r>
    </w:p>
    <w:p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杀业绩：公司业绩本身的检视</w:t>
      </w:r>
    </w:p>
    <w:p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杀逻辑：行业和企业竞争力的检视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应对下跌的方法：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考察公司基本面，基本面不变的情况下，下跌可考虑加仓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要避免永久性损失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避雷的一些判断：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管理不出彩的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主营不清晰的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过分多元化的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负债过多的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大股东极度控制的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上下游控制力弱的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培养小孩的投资理念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不要被牛股迷倒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不被纷繁复杂的个例迷惑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不抱侥幸心理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不赌小概率事件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实业眼光：价值，成长，护城河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逆向投资：克服恐惧与贪婪，（别人恐惧时贪婪，别人贪婪时恐惧）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便宜才是硬道理：合理估值依赖成长，低估才能有高收益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如何估值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应用波特五力分析：不孤立看公司，要看行业，看上下游，有横向和纵向的对比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公司对上下游的议价权；与竞争对手的比较优势；行业潜在进入者的门槛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应用杜邦分析：赚钱模式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高利润：要看广告投入，研发投入，产品定位，差异化营销；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高周转：看运营能力，渠道能力，成本控制能力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高杠杆：看风险控制能力，融资成本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估值分析：同业横比和历史纵比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价值投资的核心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投资回报的来源是哪里？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企业能否持续的创造价值？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要与估值水平相结合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基本面投资：把判断因素从N维降到3维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对企业价值的判断：企业持续的创造价值的能力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对产业大趋势的判断：产业洞见，产业后续的发展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系统性风险水平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组合投资：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更多的研究是为了更少的决策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更少的决策是为了提高决策的确定性与决策的含金量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宏观经济维度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结构变迁：长期视角找出收益于经济发展而不断壮大的行业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周期轮回：当前经济周期中最受益的行业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供需角度出发，挖掘需求未被满足的强需求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需求释放前期：成长股，看估值，更看成长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中后期：重点看估值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稳定期的投资核心是找行业格局已经明朗的优势企业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坚持主航道投资</w:t>
      </w:r>
      <w:bookmarkStart w:id="0" w:name="_GoBack"/>
      <w:bookmarkEnd w:id="0"/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新生意是否主航道判断：</w:t>
      </w:r>
    </w:p>
    <w:p>
      <w:pPr>
        <w:widowControl w:val="0"/>
        <w:numPr>
          <w:numId w:val="0"/>
        </w:numPr>
        <w:ind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体验和效率要有数倍的提升</w:t>
      </w:r>
    </w:p>
    <w:p>
      <w:pPr>
        <w:widowControl w:val="0"/>
        <w:numPr>
          <w:numId w:val="0"/>
        </w:numPr>
        <w:ind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足够的规模</w:t>
      </w:r>
    </w:p>
    <w:p>
      <w:pPr>
        <w:widowControl w:val="0"/>
        <w:numPr>
          <w:numId w:val="0"/>
        </w:numPr>
        <w:ind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要有足够的增长速度（摩尔定律）</w:t>
      </w:r>
    </w:p>
    <w:p>
      <w:pPr>
        <w:widowControl w:val="0"/>
        <w:numPr>
          <w:numId w:val="0"/>
        </w:numPr>
        <w:ind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商业可行，在可预见的未来产生卓越的资本回报率</w:t>
      </w:r>
    </w:p>
    <w:p>
      <w:pPr>
        <w:widowControl w:val="0"/>
        <w:numPr>
          <w:numId w:val="0"/>
        </w:numPr>
        <w:ind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第一批消费者在使用，且体验满意，能引领更多人使用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成熟生意是否主航道</w:t>
      </w:r>
    </w:p>
    <w:p>
      <w:pPr>
        <w:widowControl w:val="0"/>
        <w:numPr>
          <w:numId w:val="0"/>
        </w:numPr>
        <w:ind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渗透率是否足够高</w:t>
      </w:r>
    </w:p>
    <w:p>
      <w:pPr>
        <w:widowControl w:val="0"/>
        <w:numPr>
          <w:numId w:val="0"/>
        </w:numPr>
        <w:ind w:firstLine="42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增速是否显著放慢，还有没有高于30%的增长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可能的主航道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流媒体，云计算，娱乐，互联网金融，新能源，人工智能，教育，AR/VR，区块链，生物医疗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D975448"/>
    <w:multiLevelType w:val="singleLevel"/>
    <w:tmpl w:val="9D975448"/>
    <w:lvl w:ilvl="0" w:tentative="0">
      <w:start w:val="1"/>
      <w:numFmt w:val="decimal"/>
      <w:suff w:val="nothing"/>
      <w:lvlText w:val="%1，"/>
      <w:lvlJc w:val="left"/>
    </w:lvl>
  </w:abstractNum>
  <w:abstractNum w:abstractNumId="1">
    <w:nsid w:val="3D0FDC89"/>
    <w:multiLevelType w:val="singleLevel"/>
    <w:tmpl w:val="3D0FDC8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806826"/>
    <w:rsid w:val="6CA461FC"/>
    <w:rsid w:val="6D122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39</TotalTime>
  <ScaleCrop>false</ScaleCrop>
  <LinksUpToDate>false</LinksUpToDate>
  <CharactersWithSpaces>0</CharactersWithSpaces>
  <Application>WPS Office_11.1.0.9305_F1E327BC-269C-435d-A152-05C5408002CA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luoxi</dc:creator>
  <cp:lastModifiedBy>血雪狐</cp:lastModifiedBy>
  <dcterms:modified xsi:type="dcterms:W3CDTF">2020-01-05T02:51:22Z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2052-11.1.0.9305</vt:lpwstr>
  </property>
</Properties>
</file>