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1，uc方案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2，DL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3，DroidPlugin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4，使用代理机制来加载Activity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5，使用反射机制来加载Activity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利用classloader动态加载apk中的类，包括Activity；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使Activity具备正常的启动流程和生命周期，做法是利用反射，主要有以下两种方法：       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替换LoadApk类中的mClassLoader变量的值，将我们</w:t>
      </w:r>
      <w:bookmarkStart w:id="0" w:name="_GoBack"/>
      <w:bookmarkEnd w:id="0"/>
      <w:r>
        <w:rPr>
          <w:rFonts w:hint="eastAsia"/>
          <w:lang w:val="en-US" w:eastAsia="zh-CN"/>
        </w:rPr>
        <w:t>动态加载类DexClassLoader设置为mClassLoader的值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合并系统默认加载器PathClassLoader和动态加载器DexClassLoader中的dexElements数组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119654">
    <w:nsid w:val="57356F26"/>
    <w:multiLevelType w:val="singleLevel"/>
    <w:tmpl w:val="57356F26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4631196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C00CF2"/>
    <w:rsid w:val="455E2664"/>
    <w:rsid w:val="51D02F47"/>
    <w:rsid w:val="77B14A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2016-05-13T07:12:54Z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