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Cof. Determinación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Coef. Correlación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0.006785706027080618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0.08237539697677103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0.0006109088972575671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0.02471657130869019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0.001411319050099502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0.03756752653688425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0.0002557069223527719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0.015990838700730238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7.007499711020326e-05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0.00837108100009809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0.0009418250456870725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0.030689168214323968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0.00438865960173207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0.06624695918857008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porc_enganche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0.002932300047172931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0.0541507160356438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Las variables que impactan más sobre las variables objetivo de la tabla son: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enganche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monto_financiado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porc_enganche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Esto debido a que son las que mayor cercanía tienen al 1 en sus coeficientes de determinación y correlación, lo que significa que tienen un mayor impacto.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