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f0617c8f542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n: a,b⊢a∧b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a^b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fade6e9d094b36" /><Relationship Type="http://schemas.openxmlformats.org/officeDocument/2006/relationships/numbering" Target="/word/numbering.xml" Id="Rece74ac0070a406f" /><Relationship Type="http://schemas.openxmlformats.org/officeDocument/2006/relationships/settings" Target="/word/settings.xml" Id="R1da8deab32074021" /></Relationships>
</file>