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8211c1e7d1a47e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n: P(t),∀x(P(x)→¬Q(x))⊢¬Q(t)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P(t)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∀x(P(x)→¬Q(x))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P(t)→¬Q(t)</w:t>
            </w:r>
          </w:p>
        </w:tc>
        <w:tc>
          <w:tcPr>
            <w:tcW w:w="2310" w:type="auto"/>
          </w:tcPr>
          <w:p>
            <w:pPr/>
            <w:r>
              <w:t>∀x e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¬Q(t)</w:t>
            </w:r>
          </w:p>
        </w:tc>
        <w:tc>
          <w:tcPr>
            <w:tcW w:w="2310" w:type="auto"/>
          </w:tcPr>
          <w:p>
            <w:pPr/>
            <w:r>
              <w:t>MP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ca4d3af1b3742b5" /><Relationship Type="http://schemas.openxmlformats.org/officeDocument/2006/relationships/numbering" Target="/word/numbering.xml" Id="R36b63b75a99241cc" /><Relationship Type="http://schemas.openxmlformats.org/officeDocument/2006/relationships/settings" Target="/word/settings.xml" Id="R44622d2e69824f43" /></Relationships>
</file>