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cc06b061d43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¬((p∨r)∧(t∧s))→¬q, (s→p)→(t∧s), ¬(p∨r)⊢((p∨r)∨(t∧s))→(q∧(s→p))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¬(β∧δ)→¬ε,γ→δ,¬β⊢(β∨δ)→(ε∧γ)</w:t>
            </w:r>
          </w:p>
        </w:tc>
        <w:tc>
          <w:tcPr>
            <w:tcW w:w="2310" w:type="auto"/>
          </w:tcPr>
          <w:p>
            <w:pPr/>
            <w:r>
              <w:t>Proven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¬((p∨r)∧(t∧s))→¬q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(s→p)→(t∧s)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¬(p∨r)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((p∨r)∨(t∧s))→(q∧(s→p))</w:t>
            </w:r>
          </w:p>
        </w:tc>
        <w:tc>
          <w:tcPr>
            <w:tcW w:w="2310" w:type="auto"/>
          </w:tcPr>
          <w:p>
            <w:pPr/>
            <w:r>
              <w:t>Proven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2,3,4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635b35f1414cd8" /><Relationship Type="http://schemas.openxmlformats.org/officeDocument/2006/relationships/numbering" Target="/word/numbering.xml" Id="Ree48ad9bd1344cd4" /><Relationship Type="http://schemas.openxmlformats.org/officeDocument/2006/relationships/settings" Target="/word/settings.xml" Id="R86b96cb766bf442f" /></Relationships>
</file>