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af88522ff44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¬((p∨r)∧(t∧s))→¬q, (s→p)→(t∧s), ¬(p∨r)⊢((p∨r)∨(t∧s))→(q∧(s→p))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¬(β∧δ)→¬ε,γ→δ,¬β⊢(β∨δ)→(ε∧γ)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¬((p∨r)∧(t∧s))→¬q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(s→p)→(t∧s)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¬(p∨r)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((p∨r)∨(t∧s))→(q∧(s→p))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2,3,4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5538ba9f9a4fb2" /><Relationship Type="http://schemas.openxmlformats.org/officeDocument/2006/relationships/numbering" Target="/word/numbering.xml" Id="Rf90fb73a4f704192" /><Relationship Type="http://schemas.openxmlformats.org/officeDocument/2006/relationships/settings" Target="/word/settings.xml" Id="Rba20830c915741dd" /></Relationships>
</file>