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fe632a93b948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¬((¬s→q)∧(¬r→(s∧q)))→¬(¬((p∧r)∨(q∧s))), (q∨r)→(¬r→(s∧q)), ¬(¬s→q) ⊢ ((¬s→q)∨(¬r→(s∧q)))→(¬((p∧r)∨(q∧s))∧(q∨r))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¬(β∧δ)→¬ε,γ→δ,¬β⊢(β∨δ)→(ε∧γ)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¬((¬s→q)∧(¬r→(s∧q)))→¬(¬((p∧r)∨(q∧s)))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(q∨r)→(¬r→(s∧q))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¬(¬s→q)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((¬s→q)∨(¬r→(s∧q)))→((¬((p∧r)∨(q∧s)))∧(q∨r))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2,3,4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4f3c23dd8c4666" /><Relationship Type="http://schemas.openxmlformats.org/officeDocument/2006/relationships/numbering" Target="/word/numbering.xml" Id="Rb1a6ce5a962947be" /><Relationship Type="http://schemas.openxmlformats.org/officeDocument/2006/relationships/settings" Target="/word/settings.xml" Id="R1512e56ee3074c88" /></Relationships>
</file>