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13d787ee6847b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p→q,q→r⊢p→r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q→r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p→r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3-5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db59cb7e9fb4975" /><Relationship Type="http://schemas.openxmlformats.org/officeDocument/2006/relationships/numbering" Target="/word/numbering.xml" Id="R9b72e16e8e124448" /><Relationship Type="http://schemas.openxmlformats.org/officeDocument/2006/relationships/settings" Target="/word/settings.xml" Id="R3dbfc2a973a74cb0" /></Relationships>
</file>