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300c89c0e44b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∃xP(x),∀x∃y(P(x)→Q(y))⊢∃yQ(y)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∀x∃y(P(x)→Q(y))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∃y(P(X0)→Q(y))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P(X0)→Q(Y0)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Q(Y0)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6-8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3-9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770c96308f41b6" /><Relationship Type="http://schemas.openxmlformats.org/officeDocument/2006/relationships/numbering" Target="/word/numbering.xml" Id="R47bfba829b264b23" /><Relationship Type="http://schemas.openxmlformats.org/officeDocument/2006/relationships/settings" Target="/word/settings.xml" Id="R0015384edfc44b16" /></Relationships>
</file>