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d8ce7192e042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∃xP(x),∀x∃y(P(x)→Q(y))⊢∃yQ(y)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∃xP(x)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∀x∃y(P(x)→Q(y))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X0/Y0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P(X0)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∃y(P(X0)→Q(y))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      ┌--------------------------------------------------------------------------------------┐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P(X0)→Q(Y0)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Q(Y0)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      └--------------------------------------------------------------------------------------┘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6-8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∃yQ(y)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3-9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045ceb17d4488f" /><Relationship Type="http://schemas.openxmlformats.org/officeDocument/2006/relationships/numbering" Target="/word/numbering.xml" Id="Rbfef919519b84935" /><Relationship Type="http://schemas.openxmlformats.org/officeDocument/2006/relationships/settings" Target="/word/settings.xml" Id="Rbcae9042c5a94401" /></Relationships>
</file>