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dba0e9b33b43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p→(q→¬p)⊢p→¬q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p→(q→¬p)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q→¬p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p→¬q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e2e067e6724a4a" /><Relationship Type="http://schemas.openxmlformats.org/officeDocument/2006/relationships/numbering" Target="/word/numbering.xml" Id="R0b81a84f2b7c42e0" /><Relationship Type="http://schemas.openxmlformats.org/officeDocument/2006/relationships/settings" Target="/word/settings.xml" Id="Re91be90685ce4656" /></Relationships>
</file>