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183A" w14:textId="77777777" w:rsidR="00222073" w:rsidRDefault="00000000">
      <w:pPr>
        <w:spacing w:after="80"/>
      </w:pPr>
      <w:r>
        <w:rPr>
          <w:b/>
          <w:bCs/>
          <w:color w:val="2E4057"/>
          <w:sz w:val="48"/>
          <w:szCs w:val="48"/>
        </w:rPr>
        <w:t>Supply Chain Risk Modelling</w:t>
      </w:r>
    </w:p>
    <w:p w14:paraId="02183307" w14:textId="77777777" w:rsidR="00222073" w:rsidRDefault="00000000">
      <w:pPr>
        <w:spacing w:after="60"/>
      </w:pPr>
      <w:r>
        <w:rPr>
          <w:color w:val="546E7A"/>
          <w:sz w:val="24"/>
          <w:szCs w:val="24"/>
        </w:rPr>
        <w:t>Quantitative country &amp; corridor risk scoring using WorldRiskIndex data, engineered features, and ML/DL forecasting</w:t>
      </w:r>
    </w:p>
    <w:p w14:paraId="2BC53E2B" w14:textId="77777777" w:rsidR="00222073" w:rsidRDefault="00000000">
      <w:pPr>
        <w:pStyle w:val="Heading1"/>
        <w:pBdr>
          <w:bottom w:val="single" w:sz="6" w:space="4" w:color="1976D2"/>
        </w:pBdr>
      </w:pPr>
      <w:r>
        <w:rPr>
          <w:color w:val="2E4057"/>
        </w:rPr>
        <w:t>Overview</w:t>
      </w:r>
    </w:p>
    <w:p w14:paraId="48EECBFD" w14:textId="498114A3" w:rsidR="00222073" w:rsidRDefault="00000000" w:rsidP="002C5818">
      <w:pPr>
        <w:spacing w:before="80" w:after="100"/>
        <w:jc w:val="both"/>
      </w:pPr>
      <w:r>
        <w:rPr>
          <w:color w:val="1A1A1A"/>
        </w:rPr>
        <w:t xml:space="preserve">This project builds a quantitative framework for assessing supply chain corridor risk at the country level. The core question it tries to answer is </w:t>
      </w:r>
      <w:r w:rsidR="002C5818">
        <w:rPr>
          <w:color w:val="1A1A1A"/>
        </w:rPr>
        <w:t xml:space="preserve">- </w:t>
      </w:r>
      <w:r>
        <w:rPr>
          <w:color w:val="1A1A1A"/>
        </w:rPr>
        <w:t xml:space="preserve">how reliable </w:t>
      </w:r>
      <w:r w:rsidR="002C5818">
        <w:rPr>
          <w:color w:val="1A1A1A"/>
        </w:rPr>
        <w:t>a route is,</w:t>
      </w:r>
      <w:r>
        <w:rPr>
          <w:color w:val="1A1A1A"/>
        </w:rPr>
        <w:t xml:space="preserve"> as a logistics node, and how catastrophic its unavailability would be for the broader trade network.</w:t>
      </w:r>
    </w:p>
    <w:p w14:paraId="0CF0EE82" w14:textId="513CFD17" w:rsidR="00222073" w:rsidRDefault="00000000" w:rsidP="002C5818">
      <w:pPr>
        <w:spacing w:before="80" w:after="100"/>
        <w:jc w:val="both"/>
      </w:pPr>
      <w:r>
        <w:rPr>
          <w:color w:val="1A1A1A"/>
        </w:rPr>
        <w:t xml:space="preserve">The pipeline runs across three notebooks: data preparation, feature engineering </w:t>
      </w:r>
      <w:r w:rsidR="002C5818">
        <w:rPr>
          <w:color w:val="1A1A1A"/>
        </w:rPr>
        <w:t xml:space="preserve">&amp; </w:t>
      </w:r>
      <w:r>
        <w:rPr>
          <w:color w:val="1A1A1A"/>
        </w:rPr>
        <w:t xml:space="preserve">modelling, and </w:t>
      </w:r>
      <w:r w:rsidR="002C5818">
        <w:rPr>
          <w:color w:val="1A1A1A"/>
        </w:rPr>
        <w:t>visualization</w:t>
      </w:r>
      <w:r>
        <w:rPr>
          <w:color w:val="1A1A1A"/>
        </w:rPr>
        <w:t>. It produces a composite country risk score that integrates five engineered risk dimensions with a strategic supply chain concentration layer, validated through both classical ML classifiers and an LSTM forecasting model.</w:t>
      </w:r>
    </w:p>
    <w:p w14:paraId="57766019" w14:textId="77777777" w:rsidR="00222073" w:rsidRDefault="00000000">
      <w:pPr>
        <w:pStyle w:val="Heading1"/>
        <w:pBdr>
          <w:bottom w:val="single" w:sz="6" w:space="4" w:color="1976D2"/>
        </w:pBdr>
      </w:pPr>
      <w:r>
        <w:rPr>
          <w:color w:val="2E4057"/>
        </w:rPr>
        <w:t>Data Sources</w:t>
      </w:r>
    </w:p>
    <w:p w14:paraId="73517313" w14:textId="77777777" w:rsidR="00222073" w:rsidRDefault="00000000">
      <w:pPr>
        <w:pStyle w:val="Heading2"/>
      </w:pPr>
      <w:r>
        <w:rPr>
          <w:color w:val="1976D2"/>
        </w:rPr>
        <w:t>WorldRiskIndex (WRI) — Primary Dataset</w:t>
      </w:r>
    </w:p>
    <w:p w14:paraId="16B8917F" w14:textId="77777777" w:rsidR="00222073" w:rsidRDefault="00000000" w:rsidP="002C5818">
      <w:pPr>
        <w:spacing w:before="80" w:after="100"/>
        <w:jc w:val="both"/>
      </w:pPr>
      <w:r>
        <w:rPr>
          <w:color w:val="1A1A1A"/>
        </w:rPr>
        <w:t xml:space="preserve">Published annually by </w:t>
      </w:r>
      <w:proofErr w:type="spellStart"/>
      <w:r>
        <w:rPr>
          <w:color w:val="1A1A1A"/>
        </w:rPr>
        <w:t>Bündnis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Entwicklung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Hilft</w:t>
      </w:r>
      <w:proofErr w:type="spellEnd"/>
      <w:r>
        <w:rPr>
          <w:color w:val="1A1A1A"/>
        </w:rPr>
        <w:t xml:space="preserve"> and Ruhr University Bochum. The dataset covers 193 countries across 26 years (1998–2023) and decomposes national disaster risk into two top-level dimensions:</w:t>
      </w:r>
    </w:p>
    <w:p w14:paraId="41B276B3" w14:textId="77777777" w:rsidR="00222073" w:rsidRDefault="00222073" w:rsidP="002C5818">
      <w:pPr>
        <w:spacing w:before="40" w:after="40"/>
        <w:jc w:val="both"/>
      </w:pPr>
    </w:p>
    <w:p w14:paraId="76808864" w14:textId="77777777" w:rsidR="00222073" w:rsidRDefault="00000000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>Exposure (E) — natural hazard intensity across seven domains: earthquakes, tsunamis, coastal flooding, riverine flooding, cyclones, droughts, and sea level rise.</w:t>
      </w:r>
    </w:p>
    <w:p w14:paraId="3BFD5C97" w14:textId="77777777" w:rsidR="00222073" w:rsidRDefault="00000000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>Vulnerability (V) — the composite of Susceptibility (S), Lack of Coping Capacity (C), and Lack of Adaptive Capacity (A), covering governance, infrastructure, economic fragility, and social resilience.</w:t>
      </w:r>
    </w:p>
    <w:p w14:paraId="0353EB1F" w14:textId="71186C9F" w:rsidR="00222073" w:rsidRDefault="00000000" w:rsidP="002C5818">
      <w:pPr>
        <w:spacing w:before="80" w:after="100"/>
        <w:jc w:val="both"/>
        <w:rPr>
          <w:color w:val="1A1A1A"/>
        </w:rPr>
      </w:pPr>
      <w:r>
        <w:rPr>
          <w:color w:val="1A1A1A"/>
        </w:rPr>
        <w:t xml:space="preserve">Each country-year row contains raw base values (_Base columns), 0–100 </w:t>
      </w:r>
      <w:r w:rsidR="002C5818">
        <w:rPr>
          <w:color w:val="1A1A1A"/>
        </w:rPr>
        <w:t>normalized</w:t>
      </w:r>
      <w:r>
        <w:rPr>
          <w:color w:val="1A1A1A"/>
        </w:rPr>
        <w:t xml:space="preserve"> scores (_Norm columns), and all intermediate aggregates — roughly 248 columns in total. The dataset is available at worldriskindex.org.</w:t>
      </w:r>
    </w:p>
    <w:p w14:paraId="45C1136B" w14:textId="431B696E" w:rsidR="002567D4" w:rsidRDefault="002567D4" w:rsidP="002C5818">
      <w:pPr>
        <w:spacing w:before="80" w:after="100"/>
        <w:jc w:val="both"/>
      </w:pPr>
      <w:r>
        <w:rPr>
          <w:color w:val="1A1A1A"/>
        </w:rPr>
        <w:t>I’ve downloaded the dataset from: The Humanitarian Data Exchange (</w:t>
      </w:r>
      <w:r w:rsidRPr="002567D4">
        <w:rPr>
          <w:color w:val="1A1A1A"/>
        </w:rPr>
        <w:t>https://data.humdata.org</w:t>
      </w:r>
      <w:r>
        <w:rPr>
          <w:color w:val="1A1A1A"/>
        </w:rPr>
        <w:t>)</w:t>
      </w:r>
    </w:p>
    <w:p w14:paraId="675953D1" w14:textId="77777777" w:rsidR="00222073" w:rsidRDefault="00000000">
      <w:pPr>
        <w:pStyle w:val="Heading2"/>
      </w:pPr>
      <w:r>
        <w:rPr>
          <w:color w:val="1976D2"/>
        </w:rPr>
        <w:t>SCCR — Manual Scoring Table</w:t>
      </w:r>
    </w:p>
    <w:p w14:paraId="68F1547C" w14:textId="77777777" w:rsidR="00222073" w:rsidRDefault="00000000" w:rsidP="002C5818">
      <w:pPr>
        <w:spacing w:before="80" w:after="100"/>
        <w:jc w:val="both"/>
      </w:pPr>
      <w:r>
        <w:rPr>
          <w:color w:val="1A1A1A"/>
        </w:rPr>
        <w:t xml:space="preserve">The Supply Chain Concentration Risk scores were built manually for 21 strategic nodes, drawing on UNCTAD maritime statistics (container throughput data), </w:t>
      </w:r>
      <w:proofErr w:type="spellStart"/>
      <w:r>
        <w:rPr>
          <w:color w:val="1A1A1A"/>
        </w:rPr>
        <w:t>Bimco</w:t>
      </w:r>
      <w:proofErr w:type="spellEnd"/>
      <w:r>
        <w:rPr>
          <w:color w:val="1A1A1A"/>
        </w:rPr>
        <w:t xml:space="preserve"> chokepoint reports, and Lloyd's List port traffic rankings. This layer was necessary because no public dataset directly quantifies how substitutable a routing node is — a gap that becomes critical when modelling corridors like Malacca or Suez.</w:t>
      </w:r>
    </w:p>
    <w:p w14:paraId="61F8C03F" w14:textId="43522603" w:rsidR="00222073" w:rsidRDefault="00000000">
      <w:pPr>
        <w:pStyle w:val="Heading1"/>
        <w:pBdr>
          <w:bottom w:val="single" w:sz="6" w:space="4" w:color="1976D2"/>
        </w:pBdr>
      </w:pPr>
      <w:r>
        <w:rPr>
          <w:color w:val="2E4057"/>
        </w:rPr>
        <w:t>Project Structure</w:t>
      </w:r>
    </w:p>
    <w:p w14:paraId="1EF42E18" w14:textId="77777777" w:rsidR="00222073" w:rsidRDefault="00000000">
      <w:pPr>
        <w:pStyle w:val="Heading2"/>
      </w:pPr>
      <w:r>
        <w:rPr>
          <w:color w:val="1976D2"/>
        </w:rPr>
        <w:t xml:space="preserve">Notebook 1 — </w:t>
      </w:r>
      <w:proofErr w:type="spellStart"/>
      <w:r>
        <w:rPr>
          <w:color w:val="1976D2"/>
        </w:rPr>
        <w:t>SCRM_Data_Prep.ipynb</w:t>
      </w:r>
      <w:proofErr w:type="spellEnd"/>
    </w:p>
    <w:p w14:paraId="18991634" w14:textId="17E5AC71" w:rsidR="00222073" w:rsidRDefault="00000000" w:rsidP="002C5818">
      <w:pPr>
        <w:spacing w:before="80" w:after="100"/>
        <w:jc w:val="both"/>
      </w:pPr>
      <w:r>
        <w:rPr>
          <w:color w:val="1A1A1A"/>
        </w:rPr>
        <w:t xml:space="preserve">Handles everything upstream of feature engineering. The notebook loads the raw WRI dataset, maps its three-level column hierarchy (composites → components → domain indicators → </w:t>
      </w:r>
      <w:r w:rsidR="002C5818">
        <w:rPr>
          <w:color w:val="1A1A1A"/>
        </w:rPr>
        <w:t>normalized</w:t>
      </w:r>
      <w:r>
        <w:rPr>
          <w:color w:val="1A1A1A"/>
        </w:rPr>
        <w:t xml:space="preserve"> leaf indicators), cleans naming conventions, runs completeness checks including sentinel value analysis, and exports three structured tables: a full time-series panel, a latest-year cross-sectional snapshot with global ranks, and a country-level summary with historical statistics.</w:t>
      </w:r>
    </w:p>
    <w:p w14:paraId="43F5874E" w14:textId="77777777" w:rsidR="00222073" w:rsidRDefault="00222073">
      <w:pPr>
        <w:spacing w:before="120" w:after="80"/>
      </w:pPr>
    </w:p>
    <w:p w14:paraId="3D54A0F0" w14:textId="77777777" w:rsidR="00222073" w:rsidRDefault="00000000">
      <w:pPr>
        <w:pStyle w:val="Heading2"/>
      </w:pPr>
      <w:r>
        <w:rPr>
          <w:color w:val="1976D2"/>
        </w:rPr>
        <w:lastRenderedPageBreak/>
        <w:t xml:space="preserve">Notebook 2 — </w:t>
      </w:r>
      <w:proofErr w:type="spellStart"/>
      <w:r>
        <w:rPr>
          <w:color w:val="1976D2"/>
        </w:rPr>
        <w:t>SCRM_Feature_Eng_Model.ipynb</w:t>
      </w:r>
      <w:proofErr w:type="spellEnd"/>
    </w:p>
    <w:p w14:paraId="72AEFCB6" w14:textId="77777777" w:rsidR="00222073" w:rsidRDefault="00000000" w:rsidP="002C5818">
      <w:pPr>
        <w:spacing w:before="80" w:after="100"/>
        <w:jc w:val="both"/>
      </w:pPr>
      <w:r>
        <w:rPr>
          <w:color w:val="1A1A1A"/>
        </w:rPr>
        <w:t>The analytical core of the project. Six features are engineered from the WRI sub-indicators, each designed to capture a distinct dimension of supply chain risk:</w:t>
      </w:r>
    </w:p>
    <w:p w14:paraId="3E21D70A" w14:textId="77777777" w:rsidR="00222073" w:rsidRDefault="00222073" w:rsidP="002C5818">
      <w:pPr>
        <w:spacing w:before="40" w:after="40"/>
        <w:jc w:val="both"/>
      </w:pPr>
    </w:p>
    <w:p w14:paraId="33437D51" w14:textId="77777777" w:rsidR="00222073" w:rsidRDefault="00000000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>Natural Hazard Exposure Score (NHES) — seven WRI hazard domains reweighted by logistics disruption severity rather than humanitarian impact.</w:t>
      </w:r>
    </w:p>
    <w:p w14:paraId="3F2B485E" w14:textId="026930E9" w:rsidR="00222073" w:rsidRDefault="00000000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 xml:space="preserve">Governance and Stability Score (GSS) — WRI state and government indicators </w:t>
      </w:r>
      <w:r w:rsidR="002C5818">
        <w:rPr>
          <w:color w:val="1A1A1A"/>
        </w:rPr>
        <w:t>normalized</w:t>
      </w:r>
      <w:r>
        <w:rPr>
          <w:color w:val="1A1A1A"/>
        </w:rPr>
        <w:t xml:space="preserve"> and inverted so higher always means more governance risk.</w:t>
      </w:r>
    </w:p>
    <w:p w14:paraId="7A8423F9" w14:textId="77777777" w:rsidR="00222073" w:rsidRDefault="00000000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>Infrastructure Resilience Score (IRS) — connectivity and services indicators weighted toward electricity and communications capacity.</w:t>
      </w:r>
    </w:p>
    <w:p w14:paraId="3A6501E4" w14:textId="77777777" w:rsidR="00222073" w:rsidRDefault="00000000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>Economic Fragility Score (EFS) — income level, aid dependency, and price instability, reflecting fiscal capacity to restore logistics operations.</w:t>
      </w:r>
    </w:p>
    <w:p w14:paraId="50065A06" w14:textId="77777777" w:rsidR="00222073" w:rsidRDefault="00000000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>Recent Shock Burden Score (RSBS) — five-year rolling disaster and conflict burden, with conflict weighted higher for its total logistics shutdown effect.</w:t>
      </w:r>
    </w:p>
    <w:p w14:paraId="1EB87BFD" w14:textId="77777777" w:rsidR="00222073" w:rsidRDefault="00000000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>Supply Chain Concentration Risk (SCCR) — a manual scoring layer capturing strategic node criticality (throughput volume, chokepoint control, substitutability). Applied as a post-composite impact multiplier rather than a weighted feature, keeping probability and consequence analytically separated.</w:t>
      </w:r>
    </w:p>
    <w:p w14:paraId="26794A4A" w14:textId="77777777" w:rsidR="00222073" w:rsidRDefault="00222073" w:rsidP="002C5818">
      <w:pPr>
        <w:spacing w:before="40" w:after="80"/>
        <w:jc w:val="both"/>
      </w:pPr>
    </w:p>
    <w:p w14:paraId="1623C743" w14:textId="77777777" w:rsidR="00222073" w:rsidRDefault="00000000" w:rsidP="002C5818">
      <w:pPr>
        <w:spacing w:before="80" w:after="100"/>
        <w:jc w:val="both"/>
      </w:pPr>
      <w:r>
        <w:rPr>
          <w:color w:val="1A1A1A"/>
        </w:rPr>
        <w:t>These features combine into a three-stage composite: a base CCRS (five-feature weighted composite), a compound-adjusted CCRS that applies non-linear amplification when multiple dimensions elevate simultaneously, and a final CCRS that incorporates the SCCR impact multiplier.</w:t>
      </w:r>
    </w:p>
    <w:p w14:paraId="75A008AA" w14:textId="77777777" w:rsidR="00222073" w:rsidRDefault="00222073" w:rsidP="002C5818">
      <w:pPr>
        <w:spacing w:before="120" w:after="80"/>
        <w:jc w:val="both"/>
      </w:pPr>
    </w:p>
    <w:p w14:paraId="17794BDC" w14:textId="77777777" w:rsidR="00222073" w:rsidRDefault="00000000" w:rsidP="002C5818">
      <w:pPr>
        <w:spacing w:before="80" w:after="100"/>
        <w:jc w:val="both"/>
      </w:pPr>
      <w:r>
        <w:rPr>
          <w:color w:val="1A1A1A"/>
        </w:rPr>
        <w:t>Route-level risk is computed across four aggregation methods (simple weighted average, bottleneck, chokepoint-adjusted, and probabilistic cascade) using Vietnam–Rotterdam as the reference corridor. Two ML classifiers — Random Forest and Gradient Boosting — validate the hand-crafted feature weights through feature importance comparisons. An LSTM network provides sequence-aware next-year risk forecasting using five-year lookback windows.</w:t>
      </w:r>
    </w:p>
    <w:p w14:paraId="32DB0F47" w14:textId="77777777" w:rsidR="00222073" w:rsidRDefault="00000000">
      <w:pPr>
        <w:pStyle w:val="Heading2"/>
      </w:pPr>
      <w:r>
        <w:rPr>
          <w:color w:val="1976D2"/>
        </w:rPr>
        <w:t xml:space="preserve">Notebook 3 — </w:t>
      </w:r>
      <w:proofErr w:type="spellStart"/>
      <w:r>
        <w:rPr>
          <w:color w:val="1976D2"/>
        </w:rPr>
        <w:t>SCRM_Data_Viz.ipynb</w:t>
      </w:r>
      <w:proofErr w:type="spellEnd"/>
    </w:p>
    <w:p w14:paraId="18E5E997" w14:textId="77777777" w:rsidR="00222073" w:rsidRDefault="00000000" w:rsidP="002C5818">
      <w:pPr>
        <w:spacing w:before="80" w:after="100"/>
        <w:jc w:val="both"/>
      </w:pPr>
      <w:r>
        <w:rPr>
          <w:color w:val="1A1A1A"/>
        </w:rPr>
        <w:t>Fourteen charts covering the full analytical narrative: feature distributions, correlation structure, country risk rankings with dimension decomposition, temporal trajectories with crisis annotations, route comparisons across all four aggregation methods, chokepoint radar profiles, drawdown analysis, volatility-versus-level quadrant analysis, a multi-decade risk heatmap, and a side-by-side comparison of manual feature weights versus ML-derived importance scores.</w:t>
      </w:r>
    </w:p>
    <w:p w14:paraId="473F14AE" w14:textId="77777777" w:rsidR="00222073" w:rsidRDefault="00222073">
      <w:pPr>
        <w:spacing w:before="80" w:after="160"/>
      </w:pPr>
    </w:p>
    <w:p w14:paraId="5A093458" w14:textId="77777777" w:rsidR="00222073" w:rsidRDefault="00000000">
      <w:pPr>
        <w:pStyle w:val="Heading1"/>
        <w:pBdr>
          <w:bottom w:val="single" w:sz="6" w:space="4" w:color="1976D2"/>
        </w:pBdr>
      </w:pPr>
      <w:r>
        <w:rPr>
          <w:color w:val="2E4057"/>
        </w:rPr>
        <w:t>Technical Stack</w:t>
      </w:r>
    </w:p>
    <w:p w14:paraId="2E2A0BB5" w14:textId="77777777" w:rsidR="00222073" w:rsidRDefault="00000000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b/>
          <w:bCs/>
          <w:color w:val="2E4057"/>
        </w:rPr>
        <w:t xml:space="preserve">Languages &amp; Core Libraries </w:t>
      </w:r>
      <w:r>
        <w:rPr>
          <w:color w:val="1A1A1A"/>
        </w:rPr>
        <w:t>Python 3.10+ with pandas, NumPy, scikit-learn, TensorFlow/</w:t>
      </w:r>
      <w:proofErr w:type="spellStart"/>
      <w:r>
        <w:rPr>
          <w:color w:val="1A1A1A"/>
        </w:rPr>
        <w:t>Keras</w:t>
      </w:r>
      <w:proofErr w:type="spellEnd"/>
    </w:p>
    <w:p w14:paraId="1E0FDC46" w14:textId="77777777" w:rsidR="00222073" w:rsidRDefault="00000000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b/>
          <w:bCs/>
          <w:color w:val="2E4057"/>
        </w:rPr>
        <w:t xml:space="preserve">Machine Learning &amp; Deep Learning </w:t>
      </w:r>
      <w:r>
        <w:rPr>
          <w:color w:val="1A1A1A"/>
        </w:rPr>
        <w:t>Random Forest and Gradient Boosting classifiers for risk tier classification; LSTM network for one-year-ahead CCRS forecasting</w:t>
      </w:r>
    </w:p>
    <w:p w14:paraId="618221C6" w14:textId="77777777" w:rsidR="00222073" w:rsidRDefault="00000000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b/>
          <w:bCs/>
          <w:color w:val="2E4057"/>
        </w:rPr>
        <w:t xml:space="preserve">Validation </w:t>
      </w:r>
      <w:r>
        <w:rPr>
          <w:color w:val="1A1A1A"/>
        </w:rPr>
        <w:t>Temporal train/test splits (pre-2022 train, 2022+ test) to prevent data leakage in all models</w:t>
      </w:r>
    </w:p>
    <w:p w14:paraId="5856998C" w14:textId="118F8284" w:rsidR="00222073" w:rsidRDefault="002C5818" w:rsidP="002C5818"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b/>
          <w:bCs/>
          <w:color w:val="2E4057"/>
        </w:rPr>
        <w:t>Visualization</w:t>
      </w:r>
      <w:r w:rsidR="00000000">
        <w:rPr>
          <w:b/>
          <w:bCs/>
          <w:color w:val="2E4057"/>
        </w:rPr>
        <w:t xml:space="preserve"> </w:t>
      </w:r>
      <w:r w:rsidR="00000000">
        <w:rPr>
          <w:color w:val="1A1A1A"/>
        </w:rPr>
        <w:t>Matplotlib, Seaborn, Plotly</w:t>
      </w:r>
      <w:r w:rsidR="00E811A8">
        <w:rPr>
          <w:color w:val="1A1A1A"/>
        </w:rPr>
        <w:t xml:space="preserve"> </w:t>
      </w:r>
      <w:r w:rsidR="006E3B94">
        <w:rPr>
          <w:color w:val="1A1A1A"/>
        </w:rPr>
        <w:t>etc.</w:t>
      </w:r>
      <w:r w:rsidR="00E811A8">
        <w:rPr>
          <w:color w:val="1A1A1A"/>
        </w:rPr>
        <w:t xml:space="preserve"> </w:t>
      </w:r>
      <w:r w:rsidR="00000000">
        <w:rPr>
          <w:color w:val="1A1A1A"/>
        </w:rPr>
        <w:t xml:space="preserve">for the full </w:t>
      </w:r>
      <w:r>
        <w:rPr>
          <w:color w:val="1A1A1A"/>
        </w:rPr>
        <w:t>visualization</w:t>
      </w:r>
      <w:r w:rsidR="00000000">
        <w:rPr>
          <w:color w:val="1A1A1A"/>
        </w:rPr>
        <w:t xml:space="preserve"> suite</w:t>
      </w:r>
    </w:p>
    <w:sectPr w:rsidR="0022207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E367D"/>
    <w:multiLevelType w:val="hybridMultilevel"/>
    <w:tmpl w:val="9490DE1C"/>
    <w:lvl w:ilvl="0" w:tplc="83DC2BC8">
      <w:start w:val="1"/>
      <w:numFmt w:val="bullet"/>
      <w:lvlText w:val="●"/>
      <w:lvlJc w:val="left"/>
      <w:pPr>
        <w:ind w:left="720" w:hanging="360"/>
      </w:pPr>
    </w:lvl>
    <w:lvl w:ilvl="1" w:tplc="DEB0994A">
      <w:start w:val="1"/>
      <w:numFmt w:val="bullet"/>
      <w:lvlText w:val="○"/>
      <w:lvlJc w:val="left"/>
      <w:pPr>
        <w:ind w:left="1440" w:hanging="360"/>
      </w:pPr>
    </w:lvl>
    <w:lvl w:ilvl="2" w:tplc="27AAF310">
      <w:start w:val="1"/>
      <w:numFmt w:val="bullet"/>
      <w:lvlText w:val="■"/>
      <w:lvlJc w:val="left"/>
      <w:pPr>
        <w:ind w:left="2160" w:hanging="360"/>
      </w:pPr>
    </w:lvl>
    <w:lvl w:ilvl="3" w:tplc="3C607F34">
      <w:start w:val="1"/>
      <w:numFmt w:val="bullet"/>
      <w:lvlText w:val="●"/>
      <w:lvlJc w:val="left"/>
      <w:pPr>
        <w:ind w:left="2880" w:hanging="360"/>
      </w:pPr>
    </w:lvl>
    <w:lvl w:ilvl="4" w:tplc="55EA6748">
      <w:start w:val="1"/>
      <w:numFmt w:val="bullet"/>
      <w:lvlText w:val="○"/>
      <w:lvlJc w:val="left"/>
      <w:pPr>
        <w:ind w:left="3600" w:hanging="360"/>
      </w:pPr>
    </w:lvl>
    <w:lvl w:ilvl="5" w:tplc="C7D26372">
      <w:start w:val="1"/>
      <w:numFmt w:val="bullet"/>
      <w:lvlText w:val="■"/>
      <w:lvlJc w:val="left"/>
      <w:pPr>
        <w:ind w:left="4320" w:hanging="360"/>
      </w:pPr>
    </w:lvl>
    <w:lvl w:ilvl="6" w:tplc="699AD662">
      <w:start w:val="1"/>
      <w:numFmt w:val="bullet"/>
      <w:lvlText w:val="●"/>
      <w:lvlJc w:val="left"/>
      <w:pPr>
        <w:ind w:left="5040" w:hanging="360"/>
      </w:pPr>
    </w:lvl>
    <w:lvl w:ilvl="7" w:tplc="2A9E5298">
      <w:start w:val="1"/>
      <w:numFmt w:val="bullet"/>
      <w:lvlText w:val="●"/>
      <w:lvlJc w:val="left"/>
      <w:pPr>
        <w:ind w:left="5760" w:hanging="360"/>
      </w:pPr>
    </w:lvl>
    <w:lvl w:ilvl="8" w:tplc="01A68E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3F691A"/>
    <w:multiLevelType w:val="hybridMultilevel"/>
    <w:tmpl w:val="C1D6E156"/>
    <w:lvl w:ilvl="0" w:tplc="5A68E032">
      <w:start w:val="1"/>
      <w:numFmt w:val="bullet"/>
      <w:lvlText w:val="•"/>
      <w:lvlJc w:val="left"/>
      <w:pPr>
        <w:ind w:left="540" w:hanging="260"/>
      </w:pPr>
    </w:lvl>
    <w:lvl w:ilvl="1" w:tplc="94E461DC">
      <w:numFmt w:val="decimal"/>
      <w:lvlText w:val=""/>
      <w:lvlJc w:val="left"/>
    </w:lvl>
    <w:lvl w:ilvl="2" w:tplc="BDE47A06">
      <w:numFmt w:val="decimal"/>
      <w:lvlText w:val=""/>
      <w:lvlJc w:val="left"/>
    </w:lvl>
    <w:lvl w:ilvl="3" w:tplc="AE405734">
      <w:numFmt w:val="decimal"/>
      <w:lvlText w:val=""/>
      <w:lvlJc w:val="left"/>
    </w:lvl>
    <w:lvl w:ilvl="4" w:tplc="BAD291D4">
      <w:numFmt w:val="decimal"/>
      <w:lvlText w:val=""/>
      <w:lvlJc w:val="left"/>
    </w:lvl>
    <w:lvl w:ilvl="5" w:tplc="EB7EDC4A">
      <w:numFmt w:val="decimal"/>
      <w:lvlText w:val=""/>
      <w:lvlJc w:val="left"/>
    </w:lvl>
    <w:lvl w:ilvl="6" w:tplc="839EA3D8">
      <w:numFmt w:val="decimal"/>
      <w:lvlText w:val=""/>
      <w:lvlJc w:val="left"/>
    </w:lvl>
    <w:lvl w:ilvl="7" w:tplc="3EA0F428">
      <w:numFmt w:val="decimal"/>
      <w:lvlText w:val=""/>
      <w:lvlJc w:val="left"/>
    </w:lvl>
    <w:lvl w:ilvl="8" w:tplc="6772FE42">
      <w:numFmt w:val="decimal"/>
      <w:lvlText w:val=""/>
      <w:lvlJc w:val="left"/>
    </w:lvl>
  </w:abstractNum>
  <w:num w:numId="1" w16cid:durableId="1717923775">
    <w:abstractNumId w:val="0"/>
    <w:lvlOverride w:ilvl="0">
      <w:startOverride w:val="1"/>
    </w:lvlOverride>
  </w:num>
  <w:num w:numId="2" w16cid:durableId="18909147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073"/>
    <w:rsid w:val="00222073"/>
    <w:rsid w:val="002567D4"/>
    <w:rsid w:val="002C5818"/>
    <w:rsid w:val="003A2649"/>
    <w:rsid w:val="006E3B94"/>
    <w:rsid w:val="008500B4"/>
    <w:rsid w:val="00E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CBF5B"/>
  <w15:docId w15:val="{DB798534-D3B8-F543-B165-1E439853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724</Words>
  <Characters>4814</Characters>
  <Application>Microsoft Office Word</Application>
  <DocSecurity>0</DocSecurity>
  <Lines>85</Lines>
  <Paragraphs>37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Roy</cp:lastModifiedBy>
  <cp:revision>12</cp:revision>
  <dcterms:created xsi:type="dcterms:W3CDTF">2026-04-03T18:05:00Z</dcterms:created>
  <dcterms:modified xsi:type="dcterms:W3CDTF">2026-04-03T18:23:00Z</dcterms:modified>
</cp:coreProperties>
</file>