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i w:val="0"/>
          <w:color w:val="1F3C73"/>
          <w:sz w:val="48"/>
        </w:rPr>
        <w:t>SANTU ROY</w:t>
      </w:r>
    </w:p>
    <w:p>
      <w:pPr>
        <w:spacing w:before="0" w:after="40"/>
      </w:pPr>
      <w:r>
        <w:rPr>
          <w:rFonts w:ascii="Arial" w:hAnsi="Arial"/>
          <w:b w:val="0"/>
          <w:i w:val="0"/>
          <w:color w:val="1A1A1A"/>
          <w:sz w:val="24"/>
        </w:rPr>
        <w:t>AI Solution Architect  ·  Agentic AI Systems Lead  ·  Enterprise Engineering Leader</w:t>
      </w:r>
    </w:p>
    <w:p>
      <w:pPr>
        <w:spacing w:before="0" w:after="0"/>
      </w:pPr>
      <w:r>
        <w:rPr>
          <w:rFonts w:ascii="Arial" w:hAnsi="Arial"/>
          <w:b w:val="0"/>
          <w:i w:val="0"/>
          <w:color w:val="555555"/>
          <w:sz w:val="18"/>
        </w:rPr>
        <w:t>roysantu2002@gmail.com  ·  +91-919-874-329506  ·  saanturoy.com  ·  linkedin.com/in/roysantu  ·  Kolkata, India</w:t>
      </w:r>
    </w:p>
    <w:p>
      <w:pPr>
        <w:spacing w:before="240" w:after="60"/>
        <w:pBdr>
          <w:bottom w:val="single" w:sz="6" w:space="1" w:color="1f3c73"/>
        </w:pBdr>
      </w:pPr>
      <w:r>
        <w:rPr>
          <w:rFonts w:ascii="Arial" w:hAnsi="Arial"/>
          <w:b/>
          <w:i w:val="0"/>
          <w:color w:val="1F3C73"/>
          <w:sz w:val="22"/>
        </w:rPr>
        <w:t>PROFESSIONAL SUMMARY</w:t>
      </w:r>
    </w:p>
    <w:p>
      <w:pPr>
        <w:spacing w:before="80" w:after="120"/>
      </w:pPr>
      <w:r>
        <w:rPr>
          <w:rFonts w:ascii="Arial" w:hAnsi="Arial"/>
          <w:b w:val="0"/>
          <w:i w:val="0"/>
          <w:color w:val="1A1A1A"/>
          <w:sz w:val="20"/>
        </w:rPr>
        <w:t xml:space="preserve">Enterprise AI Architect and Engineering Leader with </w:t>
      </w:r>
      <w:r>
        <w:rPr>
          <w:rFonts w:ascii="Arial" w:hAnsi="Arial"/>
          <w:b/>
          <w:i w:val="0"/>
          <w:color w:val="1A1A1A"/>
          <w:sz w:val="20"/>
        </w:rPr>
        <w:t>18+ years</w:t>
      </w:r>
      <w:r>
        <w:rPr>
          <w:rFonts w:ascii="Arial" w:hAnsi="Arial"/>
          <w:b w:val="0"/>
          <w:i w:val="0"/>
          <w:color w:val="1A1A1A"/>
          <w:sz w:val="20"/>
        </w:rPr>
        <w:t xml:space="preserve"> building mission-critical platforms across global banking and fintech — in Singapore, Australia, Thailand, the USA, and India. Deep hands-on expertise in </w:t>
      </w:r>
      <w:r>
        <w:rPr>
          <w:rFonts w:ascii="Arial" w:hAnsi="Arial"/>
          <w:b/>
          <w:i w:val="0"/>
          <w:color w:val="1A1A1A"/>
          <w:sz w:val="20"/>
        </w:rPr>
        <w:t>Agentic AI systems design</w:t>
      </w:r>
      <w:r>
        <w:rPr>
          <w:rFonts w:ascii="Arial" w:hAnsi="Arial"/>
          <w:b w:val="0"/>
          <w:i w:val="0"/>
          <w:color w:val="1A1A1A"/>
          <w:sz w:val="20"/>
        </w:rPr>
        <w:t xml:space="preserve">: multi-LLM orchestration (Azure OpenAI, Anthropic Claude, AWS Bedrock, Google Gemini), RAG pipeline engineering, MCP server development, and LangGraph-based multi-agent workflows. Proven delivery record: </w:t>
      </w:r>
      <w:r>
        <w:rPr>
          <w:rFonts w:ascii="Arial" w:hAnsi="Arial"/>
          <w:b/>
          <w:i w:val="0"/>
          <w:color w:val="1A1A1A"/>
          <w:sz w:val="20"/>
        </w:rPr>
        <w:t>35% MTTR reduction</w:t>
      </w:r>
      <w:r>
        <w:rPr>
          <w:rFonts w:ascii="Arial" w:hAnsi="Arial"/>
          <w:b w:val="0"/>
          <w:i w:val="0"/>
          <w:color w:val="1A1A1A"/>
          <w:sz w:val="20"/>
        </w:rPr>
        <w:t xml:space="preserve"> through agentic ITSM automation, </w:t>
      </w:r>
      <w:r>
        <w:rPr>
          <w:rFonts w:ascii="Arial" w:hAnsi="Arial"/>
          <w:b/>
          <w:i w:val="0"/>
          <w:color w:val="1A1A1A"/>
          <w:sz w:val="20"/>
        </w:rPr>
        <w:t>40% engineering effort reduction</w:t>
      </w:r>
      <w:r>
        <w:rPr>
          <w:rFonts w:ascii="Arial" w:hAnsi="Arial"/>
          <w:b w:val="0"/>
          <w:i w:val="0"/>
          <w:color w:val="1A1A1A"/>
          <w:sz w:val="20"/>
        </w:rPr>
        <w:t xml:space="preserve"> via GenAI-powered DevOps, and 20–30% delivery optimisation across multi-cloud transformation programmes. Bridges engineering execution (Python, FastAPI, Spring Boot, Kubernetes) with enterprise architecture governance (TOGAF) and C-suite stakeholder leadership.</w:t>
      </w:r>
    </w:p>
    <w:p>
      <w:pPr>
        <w:spacing w:before="240" w:after="60"/>
        <w:pBdr>
          <w:bottom w:val="single" w:sz="6" w:space="1" w:color="1f3c73"/>
        </w:pBdr>
      </w:pPr>
      <w:r>
        <w:rPr>
          <w:rFonts w:ascii="Arial" w:hAnsi="Arial"/>
          <w:b/>
          <w:i w:val="0"/>
          <w:color w:val="1F3C73"/>
          <w:sz w:val="22"/>
        </w:rPr>
        <w:t>CORE COMPETENCIES</w:t>
      </w:r>
    </w:p>
    <w:p>
      <w:pPr>
        <w:spacing w:before="30" w:after="30"/>
      </w:pPr>
      <w:r>
        <w:rPr>
          <w:rFonts w:ascii="Arial" w:hAnsi="Arial"/>
          <w:b/>
          <w:i w:val="0"/>
          <w:color w:val="1F3C73"/>
          <w:sz w:val="19"/>
        </w:rPr>
        <w:t xml:space="preserve">Agentic AI &amp; LLMs:  </w:t>
      </w:r>
      <w:r>
        <w:rPr>
          <w:rFonts w:ascii="Arial" w:hAnsi="Arial"/>
          <w:b w:val="0"/>
          <w:i w:val="0"/>
          <w:color w:val="1A1A1A"/>
          <w:sz w:val="19"/>
        </w:rPr>
        <w:t>Azure OpenAI · Anthropic Claude · AWS Bedrock · Google Gemini · RAG (Agentic &amp; Traditional) · MCP (Model Context Protocol) · LangGraph · Multi-Agent Systems · Prompt Engineering · NLP · LLM Evaluation</w:t>
      </w:r>
    </w:p>
    <w:p>
      <w:pPr>
        <w:spacing w:before="30" w:after="30"/>
      </w:pPr>
      <w:r>
        <w:rPr>
          <w:rFonts w:ascii="Arial" w:hAnsi="Arial"/>
          <w:b/>
          <w:i w:val="0"/>
          <w:color w:val="1F3C73"/>
          <w:sz w:val="19"/>
        </w:rPr>
        <w:t xml:space="preserve">Languages:  </w:t>
      </w:r>
      <w:r>
        <w:rPr>
          <w:rFonts w:ascii="Arial" w:hAnsi="Arial"/>
          <w:b w:val="0"/>
          <w:i w:val="0"/>
          <w:color w:val="1A1A1A"/>
          <w:sz w:val="19"/>
        </w:rPr>
        <w:t>Python · Java · TypeScript · JavaScript (ES6+) · Node.js · Solidity · Shell</w:t>
      </w:r>
    </w:p>
    <w:p>
      <w:pPr>
        <w:spacing w:before="30" w:after="30"/>
      </w:pPr>
      <w:r>
        <w:rPr>
          <w:rFonts w:ascii="Arial" w:hAnsi="Arial"/>
          <w:b/>
          <w:i w:val="0"/>
          <w:color w:val="1F3C73"/>
          <w:sz w:val="19"/>
        </w:rPr>
        <w:t xml:space="preserve">Back-End:  </w:t>
      </w:r>
      <w:r>
        <w:rPr>
          <w:rFonts w:ascii="Arial" w:hAnsi="Arial"/>
          <w:b w:val="0"/>
          <w:i w:val="0"/>
          <w:color w:val="1A1A1A"/>
          <w:sz w:val="19"/>
        </w:rPr>
        <w:t>FastAPI · Spring Boot · Django · NestJS · Express.js · REST APIs · GraphQL · Microservices · Kafka · Redis</w:t>
      </w:r>
    </w:p>
    <w:p>
      <w:pPr>
        <w:spacing w:before="30" w:after="30"/>
      </w:pPr>
      <w:r>
        <w:rPr>
          <w:rFonts w:ascii="Arial" w:hAnsi="Arial"/>
          <w:b/>
          <w:i w:val="0"/>
          <w:color w:val="1F3C73"/>
          <w:sz w:val="19"/>
        </w:rPr>
        <w:t xml:space="preserve">Front-End:  </w:t>
      </w:r>
      <w:r>
        <w:rPr>
          <w:rFonts w:ascii="Arial" w:hAnsi="Arial"/>
          <w:b w:val="0"/>
          <w:i w:val="0"/>
          <w:color w:val="1A1A1A"/>
          <w:sz w:val="19"/>
        </w:rPr>
        <w:t>React · Next.js · Angular · Tailwind CSS · Material UI · Redux · Module Federation</w:t>
      </w:r>
    </w:p>
    <w:p>
      <w:pPr>
        <w:spacing w:before="30" w:after="30"/>
      </w:pPr>
      <w:r>
        <w:rPr>
          <w:rFonts w:ascii="Arial" w:hAnsi="Arial"/>
          <w:b/>
          <w:i w:val="0"/>
          <w:color w:val="1F3C73"/>
          <w:sz w:val="19"/>
        </w:rPr>
        <w:t xml:space="preserve">Cloud &amp; DevOps:  </w:t>
      </w:r>
      <w:r>
        <w:rPr>
          <w:rFonts w:ascii="Arial" w:hAnsi="Arial"/>
          <w:b w:val="0"/>
          <w:i w:val="0"/>
          <w:color w:val="1A1A1A"/>
          <w:sz w:val="19"/>
        </w:rPr>
        <w:t>AWS (Bedrock · EKS) · Azure (AKS · Functions) · GCP · Kubernetes · Docker · Terraform · Ansible · GitHub Actions · GitLab CI/CD · Jenkins · Azure DevOps</w:t>
      </w:r>
    </w:p>
    <w:p>
      <w:pPr>
        <w:spacing w:before="30" w:after="30"/>
      </w:pPr>
      <w:r>
        <w:rPr>
          <w:rFonts w:ascii="Arial" w:hAnsi="Arial"/>
          <w:b/>
          <w:i w:val="0"/>
          <w:color w:val="1F3C73"/>
          <w:sz w:val="19"/>
        </w:rPr>
        <w:t xml:space="preserve">Data &amp; Storage:  </w:t>
      </w:r>
      <w:r>
        <w:rPr>
          <w:rFonts w:ascii="Arial" w:hAnsi="Arial"/>
          <w:b w:val="0"/>
          <w:i w:val="0"/>
          <w:color w:val="1A1A1A"/>
          <w:sz w:val="19"/>
        </w:rPr>
        <w:t>PostgreSQL · MySQL · MongoDB · Oracle · CouchDB · Vector DBs (Pinecone · Supabase pgvector)</w:t>
      </w:r>
    </w:p>
    <w:p>
      <w:pPr>
        <w:spacing w:before="30" w:after="30"/>
      </w:pPr>
      <w:r>
        <w:rPr>
          <w:rFonts w:ascii="Arial" w:hAnsi="Arial"/>
          <w:b/>
          <w:i w:val="0"/>
          <w:color w:val="1F3C73"/>
          <w:sz w:val="19"/>
        </w:rPr>
        <w:t xml:space="preserve">Enterprise &amp; Architecture:  </w:t>
      </w:r>
      <w:r>
        <w:rPr>
          <w:rFonts w:ascii="Arial" w:hAnsi="Arial"/>
          <w:b w:val="0"/>
          <w:i w:val="0"/>
          <w:color w:val="1A1A1A"/>
          <w:sz w:val="19"/>
        </w:rPr>
        <w:t>ServiceNow · ITSM · CMDB · TOGAF · Event-Driven Architecture · Microservices · API Gateway · IaC · Cloud Migration</w:t>
      </w:r>
    </w:p>
    <w:p>
      <w:pPr>
        <w:spacing w:before="30" w:after="30"/>
      </w:pPr>
      <w:r>
        <w:rPr>
          <w:rFonts w:ascii="Arial" w:hAnsi="Arial"/>
          <w:b/>
          <w:i w:val="0"/>
          <w:color w:val="1F3C73"/>
          <w:sz w:val="19"/>
        </w:rPr>
        <w:t xml:space="preserve">Blockchain:  </w:t>
      </w:r>
      <w:r>
        <w:rPr>
          <w:rFonts w:ascii="Arial" w:hAnsi="Arial"/>
          <w:b w:val="0"/>
          <w:i w:val="0"/>
          <w:color w:val="1A1A1A"/>
          <w:sz w:val="19"/>
        </w:rPr>
        <w:t>Hyperledger Fabric · Ethereum · Solidity · Smart Contracts · dApps · NFTs</w:t>
      </w:r>
    </w:p>
    <w:p>
      <w:pPr>
        <w:spacing w:before="240" w:after="60"/>
        <w:pBdr>
          <w:bottom w:val="single" w:sz="6" w:space="1" w:color="1f3c73"/>
        </w:pBdr>
      </w:pPr>
      <w:r>
        <w:rPr>
          <w:rFonts w:ascii="Arial" w:hAnsi="Arial"/>
          <w:b/>
          <w:i w:val="0"/>
          <w:color w:val="1F3C73"/>
          <w:sz w:val="22"/>
        </w:rPr>
        <w:t>PROFESSIONAL EXPERIENCE</w:t>
      </w:r>
    </w:p>
    <w:p>
      <w:pPr>
        <w:spacing w:before="200" w:after="30"/>
      </w:pPr>
      <w:r>
        <w:rPr>
          <w:rFonts w:ascii="Arial" w:hAnsi="Arial"/>
          <w:b/>
          <w:i w:val="0"/>
          <w:color w:val="1F3C73"/>
          <w:sz w:val="22"/>
        </w:rPr>
        <w:t>Solution Architect — AI Tech Lead</w:t>
      </w:r>
      <w:r>
        <w:rPr>
          <w:rFonts w:ascii="Arial" w:hAnsi="Arial"/>
          <w:b w:val="0"/>
          <w:i w:val="0"/>
          <w:color w:val="555555"/>
          <w:sz w:val="19"/>
        </w:rPr>
        <w:t xml:space="preserve">    </w:t>
      </w:r>
      <w:r>
        <w:rPr>
          <w:rFonts w:ascii="Arial" w:hAnsi="Arial"/>
          <w:b w:val="0"/>
          <w:i w:val="0"/>
          <w:color w:val="555555"/>
          <w:sz w:val="19"/>
        </w:rPr>
        <w:t>Apr 2022 – May 2026</w:t>
      </w:r>
    </w:p>
    <w:p>
      <w:pPr>
        <w:spacing w:before="0" w:after="80"/>
      </w:pPr>
      <w:r>
        <w:rPr>
          <w:rFonts w:ascii="Arial" w:hAnsi="Arial"/>
          <w:b/>
          <w:i w:val="0"/>
          <w:color w:val="1A1A1A"/>
          <w:sz w:val="20"/>
        </w:rPr>
        <w:t>Wipro Limited, Bangalore  ·  Global Clients: Citibank, UBS</w:t>
      </w:r>
    </w:p>
    <w:p>
      <w:pPr>
        <w:spacing w:before="0" w:after="60"/>
      </w:pPr>
      <w:r>
        <w:rPr>
          <w:rFonts w:ascii="Arial" w:hAnsi="Arial"/>
          <w:b w:val="0"/>
          <w:i/>
          <w:color w:val="1A1A1A"/>
          <w:sz w:val="19"/>
        </w:rPr>
        <w:t>Spearheaded enterprise AI transformation for Tier-1 banking clients — architecting production agentic AI systems that delivered measurable reductions in operational costs and delivery cycle times at scale.</w:t>
      </w:r>
    </w:p>
    <w:p>
      <w:pPr>
        <w:spacing w:before="40" w:after="40"/>
        <w:ind w:left="259" w:hanging="259"/>
      </w:pPr>
      <w:r>
        <w:rPr>
          <w:rFonts w:ascii="Arial" w:hAnsi="Arial"/>
          <w:b w:val="0"/>
          <w:color w:val="1F3C73"/>
          <w:sz w:val="19"/>
        </w:rPr>
        <w:t xml:space="preserve">▸  </w:t>
      </w:r>
      <w:r>
        <w:rPr>
          <w:rFonts w:ascii="Arial" w:hAnsi="Arial"/>
          <w:b/>
          <w:i w:val="0"/>
          <w:color w:val="1A1A1A"/>
          <w:sz w:val="19"/>
        </w:rPr>
        <w:t>Architected a Unified Agentic AI Platform</w:t>
      </w:r>
      <w:r>
        <w:rPr>
          <w:rFonts w:ascii="Arial" w:hAnsi="Arial"/>
          <w:b w:val="0"/>
          <w:i w:val="0"/>
          <w:color w:val="1A1A1A"/>
          <w:sz w:val="19"/>
        </w:rPr>
        <w:t xml:space="preserve"> for intelligent ITSM operations: a multi-LLM orchestration layer spanning Azure OpenAI, Anthropic Claude, AWS Bedrock, and Google Gemini — integrated with ServiceNow across multi-cloud (AWS + Azure + GCP). Automated 60%+ of Tier-1 incident routing and reduced mean-time-to-resolution by 35%.</w:t>
      </w:r>
    </w:p>
    <w:p>
      <w:pPr>
        <w:spacing w:before="40" w:after="40"/>
        <w:ind w:left="259" w:hanging="259"/>
      </w:pPr>
      <w:r>
        <w:rPr>
          <w:rFonts w:ascii="Arial" w:hAnsi="Arial"/>
          <w:b w:val="0"/>
          <w:color w:val="1F3C73"/>
          <w:sz w:val="19"/>
        </w:rPr>
        <w:t xml:space="preserve">▸  </w:t>
      </w:r>
      <w:r>
        <w:rPr>
          <w:rFonts w:ascii="Arial" w:hAnsi="Arial"/>
          <w:b/>
          <w:i w:val="0"/>
          <w:color w:val="1A1A1A"/>
          <w:sz w:val="19"/>
        </w:rPr>
        <w:t>Built production MCP (Model Context Protocol) servers</w:t>
      </w:r>
      <w:r>
        <w:rPr>
          <w:rFonts w:ascii="Arial" w:hAnsi="Arial"/>
          <w:b w:val="0"/>
          <w:i w:val="0"/>
          <w:color w:val="1A1A1A"/>
          <w:sz w:val="19"/>
        </w:rPr>
        <w:t xml:space="preserve"> exposing enterprise data sources — CMDB, ITSM tickets, runbooks — as tool-callable context for LLM agents, enabling real-time grounded AI decision-making in service operations.</w:t>
      </w:r>
    </w:p>
    <w:p>
      <w:pPr>
        <w:spacing w:before="40" w:after="40"/>
        <w:ind w:left="259" w:hanging="259"/>
      </w:pPr>
      <w:r>
        <w:rPr>
          <w:rFonts w:ascii="Arial" w:hAnsi="Arial"/>
          <w:b w:val="0"/>
          <w:color w:val="1F3C73"/>
          <w:sz w:val="19"/>
        </w:rPr>
        <w:t xml:space="preserve">▸  </w:t>
      </w:r>
      <w:r>
        <w:rPr>
          <w:rFonts w:ascii="Arial" w:hAnsi="Arial"/>
          <w:b/>
          <w:i w:val="0"/>
          <w:color w:val="1A1A1A"/>
          <w:sz w:val="19"/>
        </w:rPr>
        <w:t>Engineered LangGraph multi-agent workflows</w:t>
      </w:r>
      <w:r>
        <w:rPr>
          <w:rFonts w:ascii="Arial" w:hAnsi="Arial"/>
          <w:b w:val="0"/>
          <w:i w:val="0"/>
          <w:color w:val="1A1A1A"/>
          <w:sz w:val="19"/>
        </w:rPr>
        <w:t xml:space="preserve"> for incident triage, root cause analysis, and automated remediation — reducing analyst investigation time and improving first-pass resolution rates in production.</w:t>
      </w:r>
    </w:p>
    <w:p>
      <w:pPr>
        <w:spacing w:before="40" w:after="40"/>
        <w:ind w:left="259" w:hanging="259"/>
      </w:pPr>
      <w:r>
        <w:rPr>
          <w:rFonts w:ascii="Arial" w:hAnsi="Arial"/>
          <w:b w:val="0"/>
          <w:color w:val="1F3C73"/>
          <w:sz w:val="19"/>
        </w:rPr>
        <w:t xml:space="preserve">▸  </w:t>
      </w:r>
      <w:r>
        <w:rPr>
          <w:rFonts w:ascii="Arial" w:hAnsi="Arial"/>
          <w:b/>
          <w:i w:val="0"/>
          <w:color w:val="1A1A1A"/>
          <w:sz w:val="19"/>
        </w:rPr>
        <w:t>Designed and delivered CraftBOT</w:t>
      </w:r>
      <w:r>
        <w:rPr>
          <w:rFonts w:ascii="Arial" w:hAnsi="Arial"/>
          <w:b w:val="0"/>
          <w:i w:val="0"/>
          <w:color w:val="1A1A1A"/>
          <w:sz w:val="19"/>
        </w:rPr>
        <w:t>, a GenAI-powered infrastructure automation assistant using RAG workflows, Ansible playbook generation, and Python microservices — enabling DevOps engineers to provision infrastructure via natural language. Cut engineering effort by 40% across cloud operations.</w:t>
      </w:r>
    </w:p>
    <w:p>
      <w:pPr>
        <w:spacing w:before="40" w:after="40"/>
        <w:ind w:left="259" w:hanging="259"/>
      </w:pPr>
      <w:r>
        <w:rPr>
          <w:rFonts w:ascii="Arial" w:hAnsi="Arial"/>
          <w:b w:val="0"/>
          <w:color w:val="1F3C73"/>
          <w:sz w:val="19"/>
        </w:rPr>
        <w:t xml:space="preserve">▸  </w:t>
      </w:r>
      <w:r>
        <w:rPr>
          <w:rFonts w:ascii="Arial" w:hAnsi="Arial"/>
          <w:b w:val="0"/>
          <w:i w:val="0"/>
          <w:color w:val="1A1A1A"/>
          <w:sz w:val="19"/>
        </w:rPr>
        <w:t>Drove end-to-end cloud transformation across AWS, Azure, and GCP: IaC (Terraform, Ansible), CI/CD pipelines (GitHub Actions, GitLab, Jenkins), and observability stacks — achieving 20–30% delivery effort optimisation.</w:t>
      </w:r>
    </w:p>
    <w:p>
      <w:pPr>
        <w:spacing w:before="40" w:after="40"/>
        <w:ind w:left="259" w:hanging="259"/>
      </w:pPr>
      <w:r>
        <w:rPr>
          <w:rFonts w:ascii="Arial" w:hAnsi="Arial"/>
          <w:b w:val="0"/>
          <w:color w:val="1F3C73"/>
          <w:sz w:val="19"/>
        </w:rPr>
        <w:t xml:space="preserve">▸  </w:t>
      </w:r>
      <w:r>
        <w:rPr>
          <w:rFonts w:ascii="Arial" w:hAnsi="Arial"/>
          <w:b w:val="0"/>
          <w:i w:val="0"/>
          <w:color w:val="1A1A1A"/>
          <w:sz w:val="19"/>
        </w:rPr>
        <w:t>Built production-grade microservices (Spring Boot, FastAPI, Django) and React/Next.js front-ends for enterprise-scale cloud-native banking deployments.</w:t>
      </w:r>
    </w:p>
    <w:p>
      <w:pPr>
        <w:spacing w:before="40" w:after="40"/>
        <w:ind w:left="259" w:hanging="259"/>
      </w:pPr>
      <w:r>
        <w:rPr>
          <w:rFonts w:ascii="Arial" w:hAnsi="Arial"/>
          <w:b w:val="0"/>
          <w:color w:val="1F3C73"/>
          <w:sz w:val="19"/>
        </w:rPr>
        <w:t xml:space="preserve">▸  </w:t>
      </w:r>
      <w:r>
        <w:rPr>
          <w:rFonts w:ascii="Arial" w:hAnsi="Arial"/>
          <w:b w:val="0"/>
          <w:i w:val="0"/>
          <w:color w:val="1A1A1A"/>
          <w:sz w:val="19"/>
        </w:rPr>
        <w:t>Defined transformation roadmaps, led architecture governance, and mentored cross-functional teams of 8–12; owned stakeholder communication from engineering sprint to C-suite.</w:t>
      </w:r>
    </w:p>
    <w:p>
      <w:pPr>
        <w:spacing w:before="200" w:after="30"/>
      </w:pPr>
      <w:r>
        <w:rPr>
          <w:rFonts w:ascii="Arial" w:hAnsi="Arial"/>
          <w:b/>
          <w:i w:val="0"/>
          <w:color w:val="1F3C73"/>
          <w:sz w:val="22"/>
        </w:rPr>
        <w:t>Solution Architect</w:t>
      </w:r>
      <w:r>
        <w:rPr>
          <w:rFonts w:ascii="Arial" w:hAnsi="Arial"/>
          <w:b w:val="0"/>
          <w:i w:val="0"/>
          <w:color w:val="555555"/>
          <w:sz w:val="19"/>
        </w:rPr>
        <w:t xml:space="preserve">    </w:t>
      </w:r>
      <w:r>
        <w:rPr>
          <w:rFonts w:ascii="Arial" w:hAnsi="Arial"/>
          <w:b w:val="0"/>
          <w:i w:val="0"/>
          <w:color w:val="555555"/>
          <w:sz w:val="19"/>
        </w:rPr>
        <w:t>Mar 2019 – Apr 2022</w:t>
      </w:r>
    </w:p>
    <w:p>
      <w:pPr>
        <w:spacing w:before="0" w:after="80"/>
      </w:pPr>
      <w:r>
        <w:rPr>
          <w:rFonts w:ascii="Arial" w:hAnsi="Arial"/>
          <w:b/>
          <w:i w:val="0"/>
          <w:color w:val="1A1A1A"/>
          <w:sz w:val="20"/>
        </w:rPr>
        <w:t>Cognizant Technology Solutions, Kolkata</w:t>
      </w:r>
    </w:p>
    <w:p>
      <w:pPr>
        <w:spacing w:before="40" w:after="40"/>
        <w:ind w:left="259" w:hanging="259"/>
      </w:pPr>
      <w:r>
        <w:rPr>
          <w:rFonts w:ascii="Arial" w:hAnsi="Arial"/>
          <w:b w:val="0"/>
          <w:color w:val="1F3C73"/>
          <w:sz w:val="19"/>
        </w:rPr>
        <w:t xml:space="preserve">▸  </w:t>
      </w:r>
      <w:r>
        <w:rPr>
          <w:rFonts w:ascii="Arial" w:hAnsi="Arial"/>
          <w:b/>
          <w:i w:val="0"/>
          <w:color w:val="1A1A1A"/>
          <w:sz w:val="19"/>
        </w:rPr>
        <w:t>Led enterprise conversational AI initiatives</w:t>
      </w:r>
      <w:r>
        <w:rPr>
          <w:rFonts w:ascii="Arial" w:hAnsi="Arial"/>
          <w:b w:val="0"/>
          <w:i w:val="0"/>
          <w:color w:val="1A1A1A"/>
          <w:sz w:val="19"/>
        </w:rPr>
        <w:t xml:space="preserve"> — built customer insights platforms using Rasa, Google Dialogflow, and Amazon Lex, adopted across 3 enterprise banking clients.</w:t>
      </w:r>
    </w:p>
    <w:p>
      <w:pPr>
        <w:spacing w:before="40" w:after="40"/>
        <w:ind w:left="259" w:hanging="259"/>
      </w:pPr>
      <w:r>
        <w:rPr>
          <w:rFonts w:ascii="Arial" w:hAnsi="Arial"/>
          <w:b w:val="0"/>
          <w:color w:val="1F3C73"/>
          <w:sz w:val="19"/>
        </w:rPr>
        <w:t xml:space="preserve">▸  </w:t>
      </w:r>
      <w:r>
        <w:rPr>
          <w:rFonts w:ascii="Arial" w:hAnsi="Arial"/>
          <w:b/>
          <w:i w:val="0"/>
          <w:color w:val="1A1A1A"/>
          <w:sz w:val="19"/>
        </w:rPr>
        <w:t>Architected the openIDL blockchain regulatory data pipeline</w:t>
      </w:r>
      <w:r>
        <w:rPr>
          <w:rFonts w:ascii="Arial" w:hAnsi="Arial"/>
          <w:b w:val="0"/>
          <w:i w:val="0"/>
          <w:color w:val="1A1A1A"/>
          <w:sz w:val="19"/>
        </w:rPr>
        <w:t xml:space="preserve"> on Hyperledger Fabric with Spring Boot, MongoDB, and AWS — enabling multi-party insurance regulatory compliance data exchange with distributed trust; significantly reduced reconciliation time.</w:t>
      </w:r>
    </w:p>
    <w:p>
      <w:pPr>
        <w:spacing w:before="40" w:after="40"/>
        <w:ind w:left="259" w:hanging="259"/>
      </w:pPr>
      <w:r>
        <w:rPr>
          <w:rFonts w:ascii="Arial" w:hAnsi="Arial"/>
          <w:b w:val="0"/>
          <w:color w:val="1F3C73"/>
          <w:sz w:val="19"/>
        </w:rPr>
        <w:t xml:space="preserve">▸  </w:t>
      </w:r>
      <w:r>
        <w:rPr>
          <w:rFonts w:ascii="Arial" w:hAnsi="Arial"/>
          <w:b w:val="0"/>
          <w:i w:val="0"/>
          <w:color w:val="1A1A1A"/>
          <w:sz w:val="19"/>
        </w:rPr>
        <w:t>Built full-stack web applications (React, Angular, Next.js) and scalable REST microservices backends (Spring Boot, FastAPI) on Kubernetes for enterprise banking clients.</w:t>
      </w:r>
    </w:p>
    <w:p>
      <w:pPr>
        <w:spacing w:before="40" w:after="40"/>
        <w:ind w:left="259" w:hanging="259"/>
      </w:pPr>
      <w:r>
        <w:rPr>
          <w:rFonts w:ascii="Arial" w:hAnsi="Arial"/>
          <w:b w:val="0"/>
          <w:color w:val="1F3C73"/>
          <w:sz w:val="19"/>
        </w:rPr>
        <w:t xml:space="preserve">▸  </w:t>
      </w:r>
      <w:r>
        <w:rPr>
          <w:rFonts w:ascii="Arial" w:hAnsi="Arial"/>
          <w:b w:val="0"/>
          <w:i w:val="0"/>
          <w:color w:val="1A1A1A"/>
          <w:sz w:val="19"/>
        </w:rPr>
        <w:t>Led hybrid cloud modernisation programmes; owned sprint governance, technical delivery, and cross-functional stakeholder management for teams of 6–10.</w:t>
      </w:r>
    </w:p>
    <w:p>
      <w:pPr>
        <w:spacing w:before="200" w:after="30"/>
      </w:pPr>
      <w:r>
        <w:rPr>
          <w:rFonts w:ascii="Arial" w:hAnsi="Arial"/>
          <w:b/>
          <w:i w:val="0"/>
          <w:color w:val="1F3C73"/>
          <w:sz w:val="22"/>
        </w:rPr>
        <w:t>Solution Architect</w:t>
      </w:r>
      <w:r>
        <w:rPr>
          <w:rFonts w:ascii="Arial" w:hAnsi="Arial"/>
          <w:b w:val="0"/>
          <w:i w:val="0"/>
          <w:color w:val="555555"/>
          <w:sz w:val="19"/>
        </w:rPr>
        <w:t xml:space="preserve">    </w:t>
      </w:r>
      <w:r>
        <w:rPr>
          <w:rFonts w:ascii="Arial" w:hAnsi="Arial"/>
          <w:b w:val="0"/>
          <w:i w:val="0"/>
          <w:color w:val="555555"/>
          <w:sz w:val="19"/>
        </w:rPr>
        <w:t>Feb 2014 – May 2018</w:t>
      </w:r>
    </w:p>
    <w:p>
      <w:pPr>
        <w:spacing w:before="0" w:after="80"/>
      </w:pPr>
      <w:r>
        <w:rPr>
          <w:rFonts w:ascii="Arial" w:hAnsi="Arial"/>
          <w:b/>
          <w:i w:val="0"/>
          <w:color w:val="1A1A1A"/>
          <w:sz w:val="20"/>
        </w:rPr>
        <w:t>HP Inc., Singapore</w:t>
      </w:r>
    </w:p>
    <w:p>
      <w:pPr>
        <w:spacing w:before="40" w:after="40"/>
        <w:ind w:left="259" w:hanging="259"/>
      </w:pPr>
      <w:r>
        <w:rPr>
          <w:rFonts w:ascii="Arial" w:hAnsi="Arial"/>
          <w:b w:val="0"/>
          <w:color w:val="1F3C73"/>
          <w:sz w:val="19"/>
        </w:rPr>
        <w:t xml:space="preserve">▸  </w:t>
      </w:r>
      <w:r>
        <w:rPr>
          <w:rFonts w:ascii="Arial" w:hAnsi="Arial"/>
          <w:b/>
          <w:i w:val="0"/>
          <w:color w:val="1A1A1A"/>
          <w:sz w:val="19"/>
        </w:rPr>
        <w:t>Built WOOBE/MOOBE</w:t>
      </w:r>
      <w:r>
        <w:rPr>
          <w:rFonts w:ascii="Arial" w:hAnsi="Arial"/>
          <w:b w:val="0"/>
          <w:i w:val="0"/>
          <w:color w:val="1A1A1A"/>
          <w:sz w:val="19"/>
        </w:rPr>
        <w:t>, HP's printing-as-a-service platform: Python, Django, Flask, REST APIs, and NLP-driven workflow automation enabling enterprise-scale print routing and SLA management for HP's global client base.</w:t>
      </w:r>
    </w:p>
    <w:p>
      <w:pPr>
        <w:spacing w:before="40" w:after="40"/>
        <w:ind w:left="259" w:hanging="259"/>
      </w:pPr>
      <w:r>
        <w:rPr>
          <w:rFonts w:ascii="Arial" w:hAnsi="Arial"/>
          <w:b w:val="0"/>
          <w:color w:val="1F3C73"/>
          <w:sz w:val="19"/>
        </w:rPr>
        <w:t xml:space="preserve">▸  </w:t>
      </w:r>
      <w:r>
        <w:rPr>
          <w:rFonts w:ascii="Arial" w:hAnsi="Arial"/>
          <w:b w:val="0"/>
          <w:i w:val="0"/>
          <w:color w:val="1A1A1A"/>
          <w:sz w:val="19"/>
        </w:rPr>
        <w:t>Designed and integrated ML models for customer behaviour analytics and predictive workflow automation across HP enterprise platforms.</w:t>
      </w:r>
    </w:p>
    <w:p>
      <w:pPr>
        <w:spacing w:before="40" w:after="40"/>
        <w:ind w:left="259" w:hanging="259"/>
      </w:pPr>
      <w:r>
        <w:rPr>
          <w:rFonts w:ascii="Arial" w:hAnsi="Arial"/>
          <w:b w:val="0"/>
          <w:color w:val="1F3C73"/>
          <w:sz w:val="19"/>
        </w:rPr>
        <w:t xml:space="preserve">▸  </w:t>
      </w:r>
      <w:r>
        <w:rPr>
          <w:rFonts w:ascii="Arial" w:hAnsi="Arial"/>
          <w:b w:val="0"/>
          <w:i w:val="0"/>
          <w:color w:val="1A1A1A"/>
          <w:sz w:val="19"/>
        </w:rPr>
        <w:t>Developed firmware validation and testing automation suites — significantly reducing manual engineering effort across hardware and software teams.</w:t>
      </w:r>
    </w:p>
    <w:p>
      <w:pPr>
        <w:spacing w:before="200" w:after="30"/>
      </w:pPr>
      <w:r>
        <w:rPr>
          <w:rFonts w:ascii="Arial" w:hAnsi="Arial"/>
          <w:b/>
          <w:i w:val="0"/>
          <w:color w:val="1F3C73"/>
          <w:sz w:val="22"/>
        </w:rPr>
        <w:t>Technical Lead</w:t>
      </w:r>
      <w:r>
        <w:rPr>
          <w:rFonts w:ascii="Arial" w:hAnsi="Arial"/>
          <w:b w:val="0"/>
          <w:i w:val="0"/>
          <w:color w:val="555555"/>
          <w:sz w:val="19"/>
        </w:rPr>
        <w:t xml:space="preserve">    </w:t>
      </w:r>
      <w:r>
        <w:rPr>
          <w:rFonts w:ascii="Arial" w:hAnsi="Arial"/>
          <w:b w:val="0"/>
          <w:i w:val="0"/>
          <w:color w:val="555555"/>
          <w:sz w:val="19"/>
        </w:rPr>
        <w:t>Sep 2012 – Dec 2013</w:t>
      </w:r>
    </w:p>
    <w:p>
      <w:pPr>
        <w:spacing w:before="0" w:after="80"/>
      </w:pPr>
      <w:r>
        <w:rPr>
          <w:rFonts w:ascii="Arial" w:hAnsi="Arial"/>
          <w:b/>
          <w:i w:val="0"/>
          <w:color w:val="1A1A1A"/>
          <w:sz w:val="20"/>
        </w:rPr>
        <w:t>Standard Chartered Bank, Singapore</w:t>
      </w:r>
    </w:p>
    <w:p>
      <w:pPr>
        <w:spacing w:before="40" w:after="40"/>
        <w:ind w:left="259" w:hanging="259"/>
      </w:pPr>
      <w:r>
        <w:rPr>
          <w:rFonts w:ascii="Arial" w:hAnsi="Arial"/>
          <w:b w:val="0"/>
          <w:color w:val="1F3C73"/>
          <w:sz w:val="19"/>
        </w:rPr>
        <w:t xml:space="preserve">▸  </w:t>
      </w:r>
      <w:r>
        <w:rPr>
          <w:rFonts w:ascii="Arial" w:hAnsi="Arial"/>
          <w:b/>
          <w:i w:val="0"/>
          <w:color w:val="1A1A1A"/>
          <w:sz w:val="19"/>
        </w:rPr>
        <w:t>Led design and delivery of ICDMS</w:t>
      </w:r>
      <w:r>
        <w:rPr>
          <w:rFonts w:ascii="Arial" w:hAnsi="Arial"/>
          <w:b w:val="0"/>
          <w:i w:val="0"/>
          <w:color w:val="1A1A1A"/>
          <w:sz w:val="19"/>
        </w:rPr>
        <w:t xml:space="preserve"> — enterprise document and compliance management platform on Core Java with workflow orchestration for banking regulatory operations.</w:t>
      </w:r>
    </w:p>
    <w:p>
      <w:pPr>
        <w:spacing w:before="40" w:after="40"/>
        <w:ind w:left="259" w:hanging="259"/>
      </w:pPr>
      <w:r>
        <w:rPr>
          <w:rFonts w:ascii="Arial" w:hAnsi="Arial"/>
          <w:b w:val="0"/>
          <w:color w:val="1F3C73"/>
          <w:sz w:val="19"/>
        </w:rPr>
        <w:t xml:space="preserve">▸  </w:t>
      </w:r>
      <w:r>
        <w:rPr>
          <w:rFonts w:ascii="Arial" w:hAnsi="Arial"/>
          <w:b/>
          <w:i w:val="0"/>
          <w:color w:val="1A1A1A"/>
          <w:sz w:val="19"/>
        </w:rPr>
        <w:t>Translated complex regulatory requirements</w:t>
      </w:r>
      <w:r>
        <w:rPr>
          <w:rFonts w:ascii="Arial" w:hAnsi="Arial"/>
          <w:b w:val="0"/>
          <w:i w:val="0"/>
          <w:color w:val="1A1A1A"/>
          <w:sz w:val="19"/>
        </w:rPr>
        <w:t xml:space="preserve"> into production-grade technical architecture; drove high-performance automation frameworks for operational workflows.</w:t>
      </w:r>
    </w:p>
    <w:p>
      <w:pPr>
        <w:spacing w:before="200" w:after="30"/>
      </w:pPr>
      <w:r>
        <w:rPr>
          <w:rFonts w:ascii="Arial" w:hAnsi="Arial"/>
          <w:b/>
          <w:i w:val="0"/>
          <w:color w:val="1F3C73"/>
          <w:sz w:val="22"/>
        </w:rPr>
        <w:t>Technical Manager</w:t>
      </w:r>
      <w:r>
        <w:rPr>
          <w:rFonts w:ascii="Arial" w:hAnsi="Arial"/>
          <w:b w:val="0"/>
          <w:i w:val="0"/>
          <w:color w:val="555555"/>
          <w:sz w:val="19"/>
        </w:rPr>
        <w:t xml:space="preserve">    </w:t>
      </w:r>
      <w:r>
        <w:rPr>
          <w:rFonts w:ascii="Arial" w:hAnsi="Arial"/>
          <w:b w:val="0"/>
          <w:i w:val="0"/>
          <w:color w:val="555555"/>
          <w:sz w:val="19"/>
        </w:rPr>
        <w:t>Jan 2012 – Jun 2012</w:t>
      </w:r>
    </w:p>
    <w:p>
      <w:pPr>
        <w:spacing w:before="0" w:after="80"/>
      </w:pPr>
      <w:r>
        <w:rPr>
          <w:rFonts w:ascii="Arial" w:hAnsi="Arial"/>
          <w:b/>
          <w:i w:val="0"/>
          <w:color w:val="1A1A1A"/>
          <w:sz w:val="20"/>
        </w:rPr>
        <w:t>Kasikorn Bank, Bangkok, Thailand</w:t>
      </w:r>
    </w:p>
    <w:p>
      <w:pPr>
        <w:spacing w:before="40" w:after="40"/>
        <w:ind w:left="259" w:hanging="259"/>
      </w:pPr>
      <w:r>
        <w:rPr>
          <w:rFonts w:ascii="Arial" w:hAnsi="Arial"/>
          <w:b w:val="0"/>
          <w:color w:val="1F3C73"/>
          <w:sz w:val="19"/>
        </w:rPr>
        <w:t xml:space="preserve">▸  </w:t>
      </w:r>
      <w:r>
        <w:rPr>
          <w:rFonts w:ascii="Arial" w:hAnsi="Arial"/>
          <w:b w:val="0"/>
          <w:i w:val="0"/>
          <w:color w:val="1A1A1A"/>
          <w:sz w:val="19"/>
        </w:rPr>
        <w:t>Led Temenos core banking modernisation across trade finance modules; delivered reconciliation workflows, Shell scripting automation, and MQ-based enterprise integration solutions.</w:t>
      </w:r>
    </w:p>
    <w:p>
      <w:pPr>
        <w:spacing w:before="200" w:after="30"/>
      </w:pPr>
      <w:r>
        <w:rPr>
          <w:rFonts w:ascii="Arial" w:hAnsi="Arial"/>
          <w:b/>
          <w:i w:val="0"/>
          <w:color w:val="1F3C73"/>
          <w:sz w:val="22"/>
        </w:rPr>
        <w:t>Technical Lead</w:t>
      </w:r>
      <w:r>
        <w:rPr>
          <w:rFonts w:ascii="Arial" w:hAnsi="Arial"/>
          <w:b w:val="0"/>
          <w:i w:val="0"/>
          <w:color w:val="555555"/>
          <w:sz w:val="19"/>
        </w:rPr>
        <w:t xml:space="preserve">    </w:t>
      </w:r>
      <w:r>
        <w:rPr>
          <w:rFonts w:ascii="Arial" w:hAnsi="Arial"/>
          <w:b w:val="0"/>
          <w:i w:val="0"/>
          <w:color w:val="555555"/>
          <w:sz w:val="19"/>
        </w:rPr>
        <w:t>Apr 2006 – Dec 2011</w:t>
      </w:r>
    </w:p>
    <w:p>
      <w:pPr>
        <w:spacing w:before="0" w:after="80"/>
      </w:pPr>
      <w:r>
        <w:rPr>
          <w:rFonts w:ascii="Arial" w:hAnsi="Arial"/>
          <w:b/>
          <w:i w:val="0"/>
          <w:color w:val="1A1A1A"/>
          <w:sz w:val="20"/>
        </w:rPr>
        <w:t>Credit Suisse Bank, Singapore</w:t>
      </w:r>
    </w:p>
    <w:p>
      <w:pPr>
        <w:spacing w:before="40" w:after="40"/>
        <w:ind w:left="259" w:hanging="259"/>
      </w:pPr>
      <w:r>
        <w:rPr>
          <w:rFonts w:ascii="Arial" w:hAnsi="Arial"/>
          <w:b w:val="0"/>
          <w:color w:val="1F3C73"/>
          <w:sz w:val="19"/>
        </w:rPr>
        <w:t xml:space="preserve">▸  </w:t>
      </w:r>
      <w:r>
        <w:rPr>
          <w:rFonts w:ascii="Arial" w:hAnsi="Arial"/>
          <w:b/>
          <w:i w:val="0"/>
          <w:color w:val="1A1A1A"/>
          <w:sz w:val="19"/>
        </w:rPr>
        <w:t>Led technical delivery for GOMAN</w:t>
      </w:r>
      <w:r>
        <w:rPr>
          <w:rFonts w:ascii="Arial" w:hAnsi="Arial"/>
          <w:b w:val="0"/>
          <w:i w:val="0"/>
          <w:color w:val="1A1A1A"/>
          <w:sz w:val="19"/>
        </w:rPr>
        <w:t xml:space="preserve"> — Core Java enterprise automation for high-volume equities and derivatives trading; improved transaction workflows, reconciliation automation, and platform reliability.</w:t>
      </w:r>
    </w:p>
    <w:p>
      <w:pPr>
        <w:spacing w:before="40" w:after="40"/>
        <w:ind w:left="259" w:hanging="259"/>
      </w:pPr>
      <w:r>
        <w:rPr>
          <w:rFonts w:ascii="Arial" w:hAnsi="Arial"/>
          <w:b w:val="0"/>
          <w:color w:val="1F3C73"/>
          <w:sz w:val="19"/>
        </w:rPr>
        <w:t xml:space="preserve">▸  </w:t>
      </w:r>
      <w:r>
        <w:rPr>
          <w:rFonts w:ascii="Arial" w:hAnsi="Arial"/>
          <w:b w:val="0"/>
          <w:i w:val="0"/>
          <w:color w:val="1A1A1A"/>
          <w:sz w:val="19"/>
        </w:rPr>
        <w:t>Implemented MiFID compliance automation and MQ-based enterprise messaging for secure high-volume financial transaction processing.</w:t>
      </w:r>
    </w:p>
    <w:p>
      <w:pPr>
        <w:spacing w:before="240" w:after="60"/>
        <w:pBdr>
          <w:bottom w:val="single" w:sz="6" w:space="1" w:color="1f3c73"/>
        </w:pBdr>
      </w:pPr>
      <w:r>
        <w:rPr>
          <w:rFonts w:ascii="Arial" w:hAnsi="Arial"/>
          <w:b/>
          <w:i w:val="0"/>
          <w:color w:val="1F3C73"/>
          <w:sz w:val="22"/>
        </w:rPr>
        <w:t>KEY AI &amp; ENGINEERING PROJECTS</w:t>
      </w:r>
    </w:p>
    <w:p>
      <w:pPr>
        <w:spacing w:before="60" w:after="20"/>
      </w:pPr>
      <w:r>
        <w:rPr>
          <w:rFonts w:ascii="Arial" w:hAnsi="Arial"/>
          <w:b/>
          <w:i w:val="0"/>
          <w:color w:val="1F3C73"/>
          <w:sz w:val="20"/>
        </w:rPr>
        <w:t>Unified Agentic AI Platform for Intelligent Service Operations</w:t>
      </w:r>
      <w:r>
        <w:rPr>
          <w:rFonts w:ascii="Arial" w:hAnsi="Arial"/>
          <w:b w:val="0"/>
          <w:i w:val="0"/>
          <w:color w:val="555555"/>
          <w:sz w:val="19"/>
        </w:rPr>
        <w:t xml:space="preserve">  ·  Wipro / Citibank</w:t>
      </w:r>
    </w:p>
    <w:p>
      <w:pPr>
        <w:spacing w:before="0" w:after="40"/>
      </w:pPr>
      <w:r>
        <w:rPr>
          <w:rFonts w:ascii="Arial" w:hAnsi="Arial"/>
          <w:b w:val="0"/>
          <w:i w:val="0"/>
          <w:color w:val="1A1A1A"/>
          <w:sz w:val="19"/>
        </w:rPr>
        <w:t>Multi-LLM agentic system (Azure OpenAI, Anthropic Claude, Google Gemini, AWS Bedrock) integrated with ServiceNow ITSM. Built MCP servers exposing enterprise CMDB and runbooks as LLM agent tools, LangGraph orchestration workflows, Python microservices, and a Next.js operations dashboard. Automated 60%+ Tier-1 incident routing; 35% MTTR reduction at enterprise scale.</w:t>
      </w:r>
    </w:p>
    <w:p>
      <w:pPr>
        <w:spacing w:before="60" w:after="20"/>
      </w:pPr>
      <w:r>
        <w:rPr>
          <w:rFonts w:ascii="Arial" w:hAnsi="Arial"/>
          <w:b/>
          <w:i w:val="0"/>
          <w:color w:val="1F3C73"/>
          <w:sz w:val="20"/>
        </w:rPr>
        <w:t>CraftBOT — GenAI Infrastructure Automation Assistant</w:t>
      </w:r>
      <w:r>
        <w:rPr>
          <w:rFonts w:ascii="Arial" w:hAnsi="Arial"/>
          <w:b w:val="0"/>
          <w:i w:val="0"/>
          <w:color w:val="555555"/>
          <w:sz w:val="19"/>
        </w:rPr>
        <w:t xml:space="preserve">  ·  Wipro</w:t>
      </w:r>
    </w:p>
    <w:p>
      <w:pPr>
        <w:spacing w:before="0" w:after="40"/>
      </w:pPr>
      <w:r>
        <w:rPr>
          <w:rFonts w:ascii="Arial" w:hAnsi="Arial"/>
          <w:b w:val="0"/>
          <w:i w:val="0"/>
          <w:color w:val="1A1A1A"/>
          <w:sz w:val="19"/>
        </w:rPr>
        <w:t>RAG-powered DevOps assistant (Azure OpenAI + Python + Django + Ansible). Engineers provision cloud infrastructure, generate configuration playbooks, and execute DevOps workflows via natural language prompts. 40% engineering effort reduction across cloud operations teams.</w:t>
      </w:r>
    </w:p>
    <w:p>
      <w:pPr>
        <w:spacing w:before="60" w:after="20"/>
      </w:pPr>
      <w:r>
        <w:rPr>
          <w:rFonts w:ascii="Arial" w:hAnsi="Arial"/>
          <w:b/>
          <w:i w:val="0"/>
          <w:color w:val="1F3C73"/>
          <w:sz w:val="20"/>
        </w:rPr>
        <w:t>openIDL Blockchain Regulatory Data Pipeline</w:t>
      </w:r>
      <w:r>
        <w:rPr>
          <w:rFonts w:ascii="Arial" w:hAnsi="Arial"/>
          <w:b w:val="0"/>
          <w:i w:val="0"/>
          <w:color w:val="555555"/>
          <w:sz w:val="19"/>
        </w:rPr>
        <w:t xml:space="preserve">  ·  Cognizant</w:t>
      </w:r>
    </w:p>
    <w:p>
      <w:pPr>
        <w:spacing w:before="0" w:after="40"/>
      </w:pPr>
      <w:r>
        <w:rPr>
          <w:rFonts w:ascii="Arial" w:hAnsi="Arial"/>
          <w:b w:val="0"/>
          <w:i w:val="0"/>
          <w:color w:val="1A1A1A"/>
          <w:sz w:val="19"/>
        </w:rPr>
        <w:t>Hyperledger Fabric blockchain pipeline for insurance regulatory reporting: Spring Boot, MongoDB, AWS. Secure distributed REST APIs and multi-party compliance data exchange workflows.</w:t>
      </w:r>
    </w:p>
    <w:p>
      <w:pPr>
        <w:spacing w:before="60" w:after="20"/>
      </w:pPr>
      <w:r>
        <w:rPr>
          <w:rFonts w:ascii="Arial" w:hAnsi="Arial"/>
          <w:b/>
          <w:i w:val="0"/>
          <w:color w:val="1F3C73"/>
          <w:sz w:val="20"/>
        </w:rPr>
        <w:t>ARENA — Enterprise Engagement &amp; Gamification Platform</w:t>
      </w:r>
      <w:r>
        <w:rPr>
          <w:rFonts w:ascii="Arial" w:hAnsi="Arial"/>
          <w:b w:val="0"/>
          <w:i w:val="0"/>
          <w:color w:val="555555"/>
          <w:sz w:val="19"/>
        </w:rPr>
        <w:t xml:space="preserve">  ·  Wipro</w:t>
      </w:r>
    </w:p>
    <w:p>
      <w:pPr>
        <w:spacing w:before="0" w:after="40"/>
      </w:pPr>
      <w:r>
        <w:rPr>
          <w:rFonts w:ascii="Arial" w:hAnsi="Arial"/>
          <w:b w:val="0"/>
          <w:i w:val="0"/>
          <w:color w:val="1A1A1A"/>
          <w:sz w:val="19"/>
        </w:rPr>
        <w:t>Cloud-native platform (React, Node.js, Azure Functions, MongoDB) delivering modular UI components, REST APIs, and backend automation for enterprise learning and engagement at scale.</w:t>
      </w:r>
    </w:p>
    <w:p>
      <w:pPr>
        <w:spacing w:before="60" w:after="20"/>
      </w:pPr>
      <w:r>
        <w:rPr>
          <w:rFonts w:ascii="Arial" w:hAnsi="Arial"/>
          <w:b/>
          <w:i w:val="0"/>
          <w:color w:val="1F3C73"/>
          <w:sz w:val="20"/>
        </w:rPr>
        <w:t>WOOBE / MOOBE — HP Printing-as-a-Service</w:t>
      </w:r>
      <w:r>
        <w:rPr>
          <w:rFonts w:ascii="Arial" w:hAnsi="Arial"/>
          <w:b w:val="0"/>
          <w:i w:val="0"/>
          <w:color w:val="555555"/>
          <w:sz w:val="19"/>
        </w:rPr>
        <w:t xml:space="preserve">  ·  HP Inc., Singapore</w:t>
      </w:r>
    </w:p>
    <w:p>
      <w:pPr>
        <w:spacing w:before="0" w:after="40"/>
      </w:pPr>
      <w:r>
        <w:rPr>
          <w:rFonts w:ascii="Arial" w:hAnsi="Arial"/>
          <w:b w:val="0"/>
          <w:i w:val="0"/>
          <w:color w:val="1A1A1A"/>
          <w:sz w:val="19"/>
        </w:rPr>
        <w:t>Cloud-based enterprise print automation (Python, Django, Flask, NLP workflows) enabling intelligent customer routing, operational automation, and SLA management for HP's global enterprise print services.</w:t>
      </w:r>
    </w:p>
    <w:p>
      <w:pPr>
        <w:spacing w:before="60" w:after="20"/>
      </w:pPr>
      <w:r>
        <w:rPr>
          <w:rFonts w:ascii="Arial" w:hAnsi="Arial"/>
          <w:b/>
          <w:i w:val="0"/>
          <w:color w:val="1F3C73"/>
          <w:sz w:val="20"/>
        </w:rPr>
        <w:t>GOMAN — Global Order Management Platform</w:t>
      </w:r>
      <w:r>
        <w:rPr>
          <w:rFonts w:ascii="Arial" w:hAnsi="Arial"/>
          <w:b w:val="0"/>
          <w:i w:val="0"/>
          <w:color w:val="555555"/>
          <w:sz w:val="19"/>
        </w:rPr>
        <w:t xml:space="preserve">  ·  Credit Suisse</w:t>
      </w:r>
    </w:p>
    <w:p>
      <w:pPr>
        <w:spacing w:before="0" w:after="40"/>
      </w:pPr>
      <w:r>
        <w:rPr>
          <w:rFonts w:ascii="Arial" w:hAnsi="Arial"/>
          <w:b w:val="0"/>
          <w:i w:val="0"/>
          <w:color w:val="1A1A1A"/>
          <w:sz w:val="19"/>
        </w:rPr>
        <w:t>Core Java enterprise automation for high-volume equities and derivatives trading. Improved transaction processing, reconciliation workflows, and platform reliability within Credit Suisse's global markets infrastructure.</w:t>
      </w:r>
    </w:p>
    <w:p>
      <w:pPr>
        <w:spacing w:before="240" w:after="60"/>
        <w:pBdr>
          <w:bottom w:val="single" w:sz="6" w:space="1" w:color="1f3c73"/>
        </w:pBdr>
      </w:pPr>
      <w:r>
        <w:rPr>
          <w:rFonts w:ascii="Arial" w:hAnsi="Arial"/>
          <w:b/>
          <w:i w:val="0"/>
          <w:color w:val="1F3C73"/>
          <w:sz w:val="22"/>
        </w:rPr>
        <w:t>EDUCATION</w:t>
      </w:r>
    </w:p>
    <w:p>
      <w:pPr>
        <w:spacing w:before="40" w:after="20"/>
      </w:pPr>
      <w:r>
        <w:rPr>
          <w:rFonts w:ascii="Arial" w:hAnsi="Arial"/>
          <w:b/>
          <w:i w:val="0"/>
          <w:color w:val="1F3C73"/>
          <w:sz w:val="20"/>
        </w:rPr>
        <w:t>M.Sc. Information Technology</w:t>
      </w:r>
      <w:r>
        <w:rPr>
          <w:rFonts w:ascii="Arial" w:hAnsi="Arial"/>
          <w:b w:val="0"/>
          <w:i w:val="0"/>
          <w:color w:val="555555"/>
          <w:sz w:val="19"/>
        </w:rPr>
        <w:t xml:space="preserve">   2001 – 2004</w:t>
      </w:r>
    </w:p>
    <w:p>
      <w:pPr>
        <w:spacing w:before="0" w:after="40"/>
      </w:pPr>
      <w:r>
        <w:rPr>
          <w:rFonts w:ascii="Arial" w:hAnsi="Arial"/>
          <w:b w:val="0"/>
          <w:i w:val="0"/>
          <w:color w:val="1A1A1A"/>
          <w:sz w:val="19"/>
        </w:rPr>
        <w:t>Manipal Sikkim University, Karnataka</w:t>
      </w:r>
    </w:p>
    <w:p>
      <w:pPr>
        <w:spacing w:before="40" w:after="20"/>
      </w:pPr>
      <w:r>
        <w:rPr>
          <w:rFonts w:ascii="Arial" w:hAnsi="Arial"/>
          <w:b/>
          <w:i w:val="0"/>
          <w:color w:val="1F3C73"/>
          <w:sz w:val="20"/>
        </w:rPr>
        <w:t>B.Sc. Computer Science</w:t>
      </w:r>
      <w:r>
        <w:rPr>
          <w:rFonts w:ascii="Arial" w:hAnsi="Arial"/>
          <w:b w:val="0"/>
          <w:i w:val="0"/>
          <w:color w:val="555555"/>
          <w:sz w:val="19"/>
        </w:rPr>
        <w:t xml:space="preserve">   1995 – 1998</w:t>
      </w:r>
    </w:p>
    <w:p>
      <w:pPr>
        <w:spacing w:before="0" w:after="40"/>
      </w:pPr>
      <w:r>
        <w:rPr>
          <w:rFonts w:ascii="Arial" w:hAnsi="Arial"/>
          <w:b w:val="0"/>
          <w:i w:val="0"/>
          <w:color w:val="1A1A1A"/>
          <w:sz w:val="19"/>
        </w:rPr>
        <w:t>Gauhati University, Assam</w:t>
      </w:r>
    </w:p>
    <w:p>
      <w:pPr>
        <w:spacing w:before="240" w:after="60"/>
        <w:pBdr>
          <w:bottom w:val="single" w:sz="6" w:space="1" w:color="1f3c73"/>
        </w:pBdr>
      </w:pPr>
      <w:r>
        <w:rPr>
          <w:rFonts w:ascii="Arial" w:hAnsi="Arial"/>
          <w:b/>
          <w:i w:val="0"/>
          <w:color w:val="1F3C73"/>
          <w:sz w:val="22"/>
        </w:rPr>
        <w:t>CERTIFICATIONS &amp; CONTINUOUS LEARNING</w:t>
      </w:r>
    </w:p>
    <w:p>
      <w:pPr>
        <w:spacing w:before="30" w:after="30"/>
      </w:pPr>
      <w:r>
        <w:rPr>
          <w:rFonts w:ascii="Arial" w:hAnsi="Arial"/>
          <w:b/>
          <w:i w:val="0"/>
          <w:color w:val="1F3C73"/>
          <w:sz w:val="19"/>
        </w:rPr>
        <w:t xml:space="preserve">2026 · Pursuing    </w:t>
      </w:r>
      <w:r>
        <w:rPr>
          <w:rFonts w:ascii="Arial" w:hAnsi="Arial"/>
          <w:b w:val="0"/>
          <w:i w:val="0"/>
          <w:color w:val="1A1A1A"/>
          <w:sz w:val="19"/>
        </w:rPr>
        <w:t>Executive Post Graduate Programme in Generative AI</w:t>
      </w:r>
      <w:r>
        <w:rPr>
          <w:rFonts w:ascii="Arial" w:hAnsi="Arial"/>
          <w:b w:val="0"/>
          <w:i w:val="0"/>
          <w:color w:val="555555"/>
          <w:sz w:val="19"/>
        </w:rPr>
        <w:t xml:space="preserve">   ·   IIT Kharagpur</w:t>
      </w:r>
    </w:p>
    <w:p>
      <w:pPr>
        <w:spacing w:before="30" w:after="30"/>
      </w:pPr>
      <w:r>
        <w:rPr>
          <w:rFonts w:ascii="Arial" w:hAnsi="Arial"/>
          <w:b/>
          <w:i w:val="0"/>
          <w:color w:val="1F3C73"/>
          <w:sz w:val="19"/>
        </w:rPr>
        <w:t xml:space="preserve">2025    </w:t>
      </w:r>
      <w:r>
        <w:rPr>
          <w:rFonts w:ascii="Arial" w:hAnsi="Arial"/>
          <w:b w:val="0"/>
          <w:i w:val="0"/>
          <w:color w:val="1A1A1A"/>
          <w:sz w:val="19"/>
        </w:rPr>
        <w:t>IBM RAG and Agentic AI — Professional Certificate</w:t>
      </w:r>
      <w:r>
        <w:rPr>
          <w:rFonts w:ascii="Arial" w:hAnsi="Arial"/>
          <w:b w:val="0"/>
          <w:i w:val="0"/>
          <w:color w:val="555555"/>
          <w:sz w:val="19"/>
        </w:rPr>
        <w:t xml:space="preserve">   ·   IBM</w:t>
      </w:r>
    </w:p>
    <w:p>
      <w:pPr>
        <w:spacing w:before="30" w:after="30"/>
      </w:pPr>
      <w:r>
        <w:rPr>
          <w:rFonts w:ascii="Arial" w:hAnsi="Arial"/>
          <w:b/>
          <w:i w:val="0"/>
          <w:color w:val="1F3C73"/>
          <w:sz w:val="19"/>
        </w:rPr>
        <w:t xml:space="preserve">2022    </w:t>
      </w:r>
      <w:r>
        <w:rPr>
          <w:rFonts w:ascii="Arial" w:hAnsi="Arial"/>
          <w:b w:val="0"/>
          <w:i w:val="0"/>
          <w:color w:val="1A1A1A"/>
          <w:sz w:val="19"/>
        </w:rPr>
        <w:t>Professional Certificate in Blockchain</w:t>
      </w:r>
      <w:r>
        <w:rPr>
          <w:rFonts w:ascii="Arial" w:hAnsi="Arial"/>
          <w:b w:val="0"/>
          <w:i w:val="0"/>
          <w:color w:val="555555"/>
          <w:sz w:val="19"/>
        </w:rPr>
        <w:t xml:space="preserve">   ·   IIT Kanpur</w:t>
      </w:r>
    </w:p>
    <w:p>
      <w:pPr>
        <w:spacing w:before="30" w:after="30"/>
      </w:pPr>
      <w:r>
        <w:rPr>
          <w:rFonts w:ascii="Arial" w:hAnsi="Arial"/>
          <w:b/>
          <w:i w:val="0"/>
          <w:color w:val="1F3C73"/>
          <w:sz w:val="19"/>
        </w:rPr>
        <w:t xml:space="preserve">2021    </w:t>
      </w:r>
      <w:r>
        <w:rPr>
          <w:rFonts w:ascii="Arial" w:hAnsi="Arial"/>
          <w:b w:val="0"/>
          <w:i w:val="0"/>
          <w:color w:val="1A1A1A"/>
          <w:sz w:val="19"/>
        </w:rPr>
        <w:t>Nanodegree in React</w:t>
      </w:r>
      <w:r>
        <w:rPr>
          <w:rFonts w:ascii="Arial" w:hAnsi="Arial"/>
          <w:b w:val="0"/>
          <w:i w:val="0"/>
          <w:color w:val="555555"/>
          <w:sz w:val="19"/>
        </w:rPr>
        <w:t xml:space="preserve">   ·   Udacity</w:t>
      </w:r>
    </w:p>
    <w:p>
      <w:pPr>
        <w:spacing w:before="30" w:after="30"/>
      </w:pPr>
      <w:r>
        <w:rPr>
          <w:rFonts w:ascii="Arial" w:hAnsi="Arial"/>
          <w:b/>
          <w:i w:val="0"/>
          <w:color w:val="1F3C73"/>
          <w:sz w:val="19"/>
        </w:rPr>
        <w:t xml:space="preserve">2021    </w:t>
      </w:r>
      <w:r>
        <w:rPr>
          <w:rFonts w:ascii="Arial" w:hAnsi="Arial"/>
          <w:b w:val="0"/>
          <w:i w:val="0"/>
          <w:color w:val="1A1A1A"/>
          <w:sz w:val="19"/>
        </w:rPr>
        <w:t>Professional Data Science Certification</w:t>
      </w:r>
      <w:r>
        <w:rPr>
          <w:rFonts w:ascii="Arial" w:hAnsi="Arial"/>
          <w:b w:val="0"/>
          <w:i w:val="0"/>
          <w:color w:val="555555"/>
          <w:sz w:val="19"/>
        </w:rPr>
        <w:t xml:space="preserve">   ·   IBM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