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1++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ומביט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בכינור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2++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סצנה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3++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מצטופף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משמעי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אקדח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4++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בכתפיו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5++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6++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לחלון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בכובעו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7++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ילדה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בידיה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מאחוריה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כקוראת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8++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מעורפלת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במטופל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9++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שוכבים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10++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כנגד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11++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עצומות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12++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ילד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13++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צללית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חלון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++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14++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אוחזת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הנפולות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