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Bidi"/>
          <w:sz w:val="22"/>
          <w:lang w:val="en-US"/>
        </w:rPr>
        <w:id w:val="-575585733"/>
        <w:docPartObj>
          <w:docPartGallery w:val="Table of Contents"/>
          <w:docPartUnique/>
        </w:docPartObj>
      </w:sdtPr>
      <w:sdtEndPr>
        <w:rPr>
          <w:b/>
          <w:bCs/>
          <w:noProof/>
        </w:rPr>
      </w:sdtEndPr>
      <w:sdtContent>
        <w:p w:rsidR="00B0678E" w:rsidRPr="001E7D34" w:rsidRDefault="00B0678E" w:rsidP="001E7D34">
          <w:pPr>
            <w:pStyle w:val="bodyText"/>
            <w:rPr>
              <w:rStyle w:val="Heading1Char"/>
            </w:rPr>
          </w:pPr>
          <w:r w:rsidRPr="001E7D34">
            <w:rPr>
              <w:rStyle w:val="Heading1Char"/>
            </w:rPr>
            <w:t>Índice</w:t>
          </w:r>
        </w:p>
        <w:p w:rsidR="009C4D68" w:rsidRDefault="00B0678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824766" w:history="1">
            <w:r w:rsidR="009C4D68" w:rsidRPr="00325B9B">
              <w:rPr>
                <w:rStyle w:val="Hyperlink"/>
                <w:noProof/>
                <w:lang w:val="es-AR"/>
              </w:rPr>
              <w:t>Descripción del sector</w:t>
            </w:r>
            <w:r w:rsidR="009C4D68">
              <w:rPr>
                <w:noProof/>
                <w:webHidden/>
              </w:rPr>
              <w:tab/>
            </w:r>
            <w:r w:rsidR="009C4D68">
              <w:rPr>
                <w:noProof/>
                <w:webHidden/>
              </w:rPr>
              <w:fldChar w:fldCharType="begin"/>
            </w:r>
            <w:r w:rsidR="009C4D68">
              <w:rPr>
                <w:noProof/>
                <w:webHidden/>
              </w:rPr>
              <w:instrText xml:space="preserve"> PAGEREF _Toc24824766 \h </w:instrText>
            </w:r>
            <w:r w:rsidR="009C4D68">
              <w:rPr>
                <w:noProof/>
                <w:webHidden/>
              </w:rPr>
            </w:r>
            <w:r w:rsidR="009C4D68">
              <w:rPr>
                <w:noProof/>
                <w:webHidden/>
              </w:rPr>
              <w:fldChar w:fldCharType="separate"/>
            </w:r>
            <w:r w:rsidR="007F5A16">
              <w:rPr>
                <w:noProof/>
                <w:webHidden/>
              </w:rPr>
              <w:t>2</w:t>
            </w:r>
            <w:r w:rsidR="009C4D68">
              <w:rPr>
                <w:noProof/>
                <w:webHidden/>
              </w:rPr>
              <w:fldChar w:fldCharType="end"/>
            </w:r>
          </w:hyperlink>
        </w:p>
        <w:p w:rsidR="009C4D68" w:rsidRDefault="009C4D68">
          <w:pPr>
            <w:pStyle w:val="TOC1"/>
            <w:tabs>
              <w:tab w:val="right" w:leader="dot" w:pos="9350"/>
            </w:tabs>
            <w:rPr>
              <w:rFonts w:eastAsiaTheme="minorEastAsia"/>
              <w:noProof/>
            </w:rPr>
          </w:pPr>
          <w:hyperlink w:anchor="_Toc24824767" w:history="1">
            <w:r w:rsidRPr="00325B9B">
              <w:rPr>
                <w:rStyle w:val="Hyperlink"/>
                <w:noProof/>
                <w:lang w:val="es-AR"/>
              </w:rPr>
              <w:t>Valor agregado a precios constantes</w:t>
            </w:r>
            <w:r>
              <w:rPr>
                <w:noProof/>
                <w:webHidden/>
              </w:rPr>
              <w:tab/>
            </w:r>
            <w:r>
              <w:rPr>
                <w:noProof/>
                <w:webHidden/>
              </w:rPr>
              <w:fldChar w:fldCharType="begin"/>
            </w:r>
            <w:r>
              <w:rPr>
                <w:noProof/>
                <w:webHidden/>
              </w:rPr>
              <w:instrText xml:space="preserve"> PAGEREF _Toc24824767 \h </w:instrText>
            </w:r>
            <w:r>
              <w:rPr>
                <w:noProof/>
                <w:webHidden/>
              </w:rPr>
            </w:r>
            <w:r>
              <w:rPr>
                <w:noProof/>
                <w:webHidden/>
              </w:rPr>
              <w:fldChar w:fldCharType="separate"/>
            </w:r>
            <w:r w:rsidR="007F5A16">
              <w:rPr>
                <w:noProof/>
                <w:webHidden/>
              </w:rPr>
              <w:t>2</w:t>
            </w:r>
            <w:r>
              <w:rPr>
                <w:noProof/>
                <w:webHidden/>
              </w:rPr>
              <w:fldChar w:fldCharType="end"/>
            </w:r>
          </w:hyperlink>
        </w:p>
        <w:p w:rsidR="009C4D68" w:rsidRDefault="009C4D68">
          <w:pPr>
            <w:pStyle w:val="TOC1"/>
            <w:tabs>
              <w:tab w:val="right" w:leader="dot" w:pos="9350"/>
            </w:tabs>
            <w:rPr>
              <w:rFonts w:eastAsiaTheme="minorEastAsia"/>
              <w:noProof/>
            </w:rPr>
          </w:pPr>
          <w:hyperlink w:anchor="_Toc24824768" w:history="1">
            <w:r w:rsidRPr="00325B9B">
              <w:rPr>
                <w:rStyle w:val="Hyperlink"/>
                <w:noProof/>
                <w:lang w:val="es-AR"/>
              </w:rPr>
              <w:t>Índice de precios implícitos</w:t>
            </w:r>
            <w:r>
              <w:rPr>
                <w:noProof/>
                <w:webHidden/>
              </w:rPr>
              <w:tab/>
            </w:r>
            <w:r>
              <w:rPr>
                <w:noProof/>
                <w:webHidden/>
              </w:rPr>
              <w:fldChar w:fldCharType="begin"/>
            </w:r>
            <w:r>
              <w:rPr>
                <w:noProof/>
                <w:webHidden/>
              </w:rPr>
              <w:instrText xml:space="preserve"> PAGEREF _Toc24824768 \h </w:instrText>
            </w:r>
            <w:r>
              <w:rPr>
                <w:noProof/>
                <w:webHidden/>
              </w:rPr>
            </w:r>
            <w:r>
              <w:rPr>
                <w:noProof/>
                <w:webHidden/>
              </w:rPr>
              <w:fldChar w:fldCharType="separate"/>
            </w:r>
            <w:r w:rsidR="007F5A16">
              <w:rPr>
                <w:noProof/>
                <w:webHidden/>
              </w:rPr>
              <w:t>4</w:t>
            </w:r>
            <w:r>
              <w:rPr>
                <w:noProof/>
                <w:webHidden/>
              </w:rPr>
              <w:fldChar w:fldCharType="end"/>
            </w:r>
          </w:hyperlink>
        </w:p>
        <w:p w:rsidR="009C4D68" w:rsidRDefault="009C4D68">
          <w:pPr>
            <w:pStyle w:val="TOC1"/>
            <w:tabs>
              <w:tab w:val="right" w:leader="dot" w:pos="9350"/>
            </w:tabs>
            <w:rPr>
              <w:rFonts w:eastAsiaTheme="minorEastAsia"/>
              <w:noProof/>
            </w:rPr>
          </w:pPr>
          <w:hyperlink w:anchor="_Toc24824769" w:history="1">
            <w:r w:rsidRPr="00325B9B">
              <w:rPr>
                <w:rStyle w:val="Hyperlink"/>
                <w:noProof/>
                <w:lang w:val="es-AR"/>
              </w:rPr>
              <w:t>Valor agregado a precios corrientes</w:t>
            </w:r>
            <w:r>
              <w:rPr>
                <w:noProof/>
                <w:webHidden/>
              </w:rPr>
              <w:tab/>
            </w:r>
            <w:r>
              <w:rPr>
                <w:noProof/>
                <w:webHidden/>
              </w:rPr>
              <w:fldChar w:fldCharType="begin"/>
            </w:r>
            <w:r>
              <w:rPr>
                <w:noProof/>
                <w:webHidden/>
              </w:rPr>
              <w:instrText xml:space="preserve"> PAGEREF _Toc24824769 \h </w:instrText>
            </w:r>
            <w:r>
              <w:rPr>
                <w:noProof/>
                <w:webHidden/>
              </w:rPr>
            </w:r>
            <w:r>
              <w:rPr>
                <w:noProof/>
                <w:webHidden/>
              </w:rPr>
              <w:fldChar w:fldCharType="separate"/>
            </w:r>
            <w:r w:rsidR="007F5A16">
              <w:rPr>
                <w:noProof/>
                <w:webHidden/>
              </w:rPr>
              <w:t>5</w:t>
            </w:r>
            <w:r>
              <w:rPr>
                <w:noProof/>
                <w:webHidden/>
              </w:rPr>
              <w:fldChar w:fldCharType="end"/>
            </w:r>
          </w:hyperlink>
        </w:p>
        <w:p w:rsidR="009C4D68" w:rsidRDefault="009C4D68">
          <w:pPr>
            <w:pStyle w:val="TOC1"/>
            <w:tabs>
              <w:tab w:val="right" w:leader="dot" w:pos="9350"/>
            </w:tabs>
            <w:rPr>
              <w:rFonts w:eastAsiaTheme="minorEastAsia"/>
              <w:noProof/>
            </w:rPr>
          </w:pPr>
          <w:hyperlink w:anchor="_Toc24824770" w:history="1">
            <w:r w:rsidRPr="00325B9B">
              <w:rPr>
                <w:rStyle w:val="Hyperlink"/>
                <w:noProof/>
                <w:lang w:val="es-AR"/>
              </w:rPr>
              <w:t>Perspectivas a futuro</w:t>
            </w:r>
            <w:r>
              <w:rPr>
                <w:noProof/>
                <w:webHidden/>
              </w:rPr>
              <w:tab/>
            </w:r>
            <w:r>
              <w:rPr>
                <w:noProof/>
                <w:webHidden/>
              </w:rPr>
              <w:fldChar w:fldCharType="begin"/>
            </w:r>
            <w:r>
              <w:rPr>
                <w:noProof/>
                <w:webHidden/>
              </w:rPr>
              <w:instrText xml:space="preserve"> PAGEREF _Toc24824770 \h </w:instrText>
            </w:r>
            <w:r>
              <w:rPr>
                <w:noProof/>
                <w:webHidden/>
              </w:rPr>
            </w:r>
            <w:r>
              <w:rPr>
                <w:noProof/>
                <w:webHidden/>
              </w:rPr>
              <w:fldChar w:fldCharType="separate"/>
            </w:r>
            <w:r w:rsidR="007F5A16">
              <w:rPr>
                <w:noProof/>
                <w:webHidden/>
              </w:rPr>
              <w:t>6</w:t>
            </w:r>
            <w:r>
              <w:rPr>
                <w:noProof/>
                <w:webHidden/>
              </w:rPr>
              <w:fldChar w:fldCharType="end"/>
            </w:r>
          </w:hyperlink>
        </w:p>
        <w:p w:rsidR="009C4D68" w:rsidRDefault="009C4D68">
          <w:pPr>
            <w:pStyle w:val="TOC1"/>
            <w:tabs>
              <w:tab w:val="right" w:leader="dot" w:pos="9350"/>
            </w:tabs>
            <w:rPr>
              <w:rFonts w:eastAsiaTheme="minorEastAsia"/>
              <w:noProof/>
            </w:rPr>
          </w:pPr>
          <w:hyperlink w:anchor="_Toc24824771" w:history="1">
            <w:r w:rsidRPr="00325B9B">
              <w:rPr>
                <w:rStyle w:val="Hyperlink"/>
                <w:noProof/>
                <w:lang w:val="es-AR"/>
              </w:rPr>
              <w:t>Anexo</w:t>
            </w:r>
            <w:r>
              <w:rPr>
                <w:noProof/>
                <w:webHidden/>
              </w:rPr>
              <w:tab/>
            </w:r>
            <w:r>
              <w:rPr>
                <w:noProof/>
                <w:webHidden/>
              </w:rPr>
              <w:fldChar w:fldCharType="begin"/>
            </w:r>
            <w:r>
              <w:rPr>
                <w:noProof/>
                <w:webHidden/>
              </w:rPr>
              <w:instrText xml:space="preserve"> PAGEREF _Toc24824771 \h </w:instrText>
            </w:r>
            <w:r>
              <w:rPr>
                <w:noProof/>
                <w:webHidden/>
              </w:rPr>
            </w:r>
            <w:r>
              <w:rPr>
                <w:noProof/>
                <w:webHidden/>
              </w:rPr>
              <w:fldChar w:fldCharType="separate"/>
            </w:r>
            <w:r w:rsidR="007F5A16">
              <w:rPr>
                <w:noProof/>
                <w:webHidden/>
              </w:rPr>
              <w:t>8</w:t>
            </w:r>
            <w:r>
              <w:rPr>
                <w:noProof/>
                <w:webHidden/>
              </w:rPr>
              <w:fldChar w:fldCharType="end"/>
            </w:r>
          </w:hyperlink>
        </w:p>
        <w:p w:rsidR="009C4D68" w:rsidRDefault="009C4D68">
          <w:pPr>
            <w:pStyle w:val="TOC2"/>
            <w:tabs>
              <w:tab w:val="right" w:leader="dot" w:pos="9350"/>
            </w:tabs>
            <w:rPr>
              <w:rFonts w:eastAsiaTheme="minorEastAsia"/>
              <w:noProof/>
            </w:rPr>
          </w:pPr>
          <w:hyperlink w:anchor="_Toc24824772" w:history="1">
            <w:r w:rsidRPr="00325B9B">
              <w:rPr>
                <w:rStyle w:val="Hyperlink"/>
                <w:noProof/>
                <w:lang w:val="es-AR"/>
              </w:rPr>
              <w:t>Tabla: VA Salud Privada y Total Sector</w:t>
            </w:r>
            <w:r>
              <w:rPr>
                <w:noProof/>
                <w:webHidden/>
              </w:rPr>
              <w:tab/>
            </w:r>
            <w:r>
              <w:rPr>
                <w:noProof/>
                <w:webHidden/>
              </w:rPr>
              <w:fldChar w:fldCharType="begin"/>
            </w:r>
            <w:r>
              <w:rPr>
                <w:noProof/>
                <w:webHidden/>
              </w:rPr>
              <w:instrText xml:space="preserve"> PAGEREF _Toc24824772 \h </w:instrText>
            </w:r>
            <w:r>
              <w:rPr>
                <w:noProof/>
                <w:webHidden/>
              </w:rPr>
            </w:r>
            <w:r>
              <w:rPr>
                <w:noProof/>
                <w:webHidden/>
              </w:rPr>
              <w:fldChar w:fldCharType="separate"/>
            </w:r>
            <w:r w:rsidR="007F5A16">
              <w:rPr>
                <w:noProof/>
                <w:webHidden/>
              </w:rPr>
              <w:t>8</w:t>
            </w:r>
            <w:r>
              <w:rPr>
                <w:noProof/>
                <w:webHidden/>
              </w:rPr>
              <w:fldChar w:fldCharType="end"/>
            </w:r>
          </w:hyperlink>
        </w:p>
        <w:p w:rsidR="009C4D68" w:rsidRDefault="009C4D68">
          <w:pPr>
            <w:pStyle w:val="TOC2"/>
            <w:tabs>
              <w:tab w:val="right" w:leader="dot" w:pos="9350"/>
            </w:tabs>
            <w:rPr>
              <w:rFonts w:eastAsiaTheme="minorEastAsia"/>
              <w:noProof/>
            </w:rPr>
          </w:pPr>
          <w:hyperlink w:anchor="_Toc24824773" w:history="1">
            <w:r w:rsidRPr="00325B9B">
              <w:rPr>
                <w:rStyle w:val="Hyperlink"/>
                <w:noProof/>
              </w:rPr>
              <w:t>Tabla Precios relativos de Salud Privada a Total Sectores</w:t>
            </w:r>
            <w:r>
              <w:rPr>
                <w:noProof/>
                <w:webHidden/>
              </w:rPr>
              <w:tab/>
            </w:r>
            <w:r>
              <w:rPr>
                <w:noProof/>
                <w:webHidden/>
              </w:rPr>
              <w:fldChar w:fldCharType="begin"/>
            </w:r>
            <w:r>
              <w:rPr>
                <w:noProof/>
                <w:webHidden/>
              </w:rPr>
              <w:instrText xml:space="preserve"> PAGEREF _Toc24824773 \h </w:instrText>
            </w:r>
            <w:r>
              <w:rPr>
                <w:noProof/>
                <w:webHidden/>
              </w:rPr>
            </w:r>
            <w:r>
              <w:rPr>
                <w:noProof/>
                <w:webHidden/>
              </w:rPr>
              <w:fldChar w:fldCharType="separate"/>
            </w:r>
            <w:r w:rsidR="007F5A16">
              <w:rPr>
                <w:noProof/>
                <w:webHidden/>
              </w:rPr>
              <w:t>9</w:t>
            </w:r>
            <w:r>
              <w:rPr>
                <w:noProof/>
                <w:webHidden/>
              </w:rPr>
              <w:fldChar w:fldCharType="end"/>
            </w:r>
          </w:hyperlink>
        </w:p>
        <w:p w:rsidR="009C4D68" w:rsidRDefault="009C4D68">
          <w:pPr>
            <w:pStyle w:val="TOC2"/>
            <w:tabs>
              <w:tab w:val="right" w:leader="dot" w:pos="9350"/>
            </w:tabs>
            <w:rPr>
              <w:rFonts w:eastAsiaTheme="minorEastAsia"/>
              <w:noProof/>
            </w:rPr>
          </w:pPr>
          <w:hyperlink w:anchor="_Toc24824774" w:history="1">
            <w:r w:rsidRPr="00325B9B">
              <w:rPr>
                <w:rStyle w:val="Hyperlink"/>
                <w:noProof/>
                <w:lang w:val="es-AR"/>
              </w:rPr>
              <w:t>Tabla Participación del sector Salud Privada en el VA a precios corrientes de todos los sectores (en %)</w:t>
            </w:r>
            <w:r>
              <w:rPr>
                <w:noProof/>
                <w:webHidden/>
              </w:rPr>
              <w:tab/>
            </w:r>
            <w:r>
              <w:rPr>
                <w:noProof/>
                <w:webHidden/>
              </w:rPr>
              <w:fldChar w:fldCharType="begin"/>
            </w:r>
            <w:r>
              <w:rPr>
                <w:noProof/>
                <w:webHidden/>
              </w:rPr>
              <w:instrText xml:space="preserve"> PAGEREF _Toc24824774 \h </w:instrText>
            </w:r>
            <w:r>
              <w:rPr>
                <w:noProof/>
                <w:webHidden/>
              </w:rPr>
            </w:r>
            <w:r>
              <w:rPr>
                <w:noProof/>
                <w:webHidden/>
              </w:rPr>
              <w:fldChar w:fldCharType="separate"/>
            </w:r>
            <w:r w:rsidR="007F5A16">
              <w:rPr>
                <w:noProof/>
                <w:webHidden/>
              </w:rPr>
              <w:t>11</w:t>
            </w:r>
            <w:r>
              <w:rPr>
                <w:noProof/>
                <w:webHidden/>
              </w:rPr>
              <w:fldChar w:fldCharType="end"/>
            </w:r>
          </w:hyperlink>
        </w:p>
        <w:p w:rsidR="009C4D68" w:rsidRDefault="009C4D68">
          <w:pPr>
            <w:pStyle w:val="TOC1"/>
            <w:tabs>
              <w:tab w:val="right" w:leader="dot" w:pos="9350"/>
            </w:tabs>
            <w:rPr>
              <w:rFonts w:eastAsiaTheme="minorEastAsia"/>
              <w:noProof/>
            </w:rPr>
          </w:pPr>
          <w:hyperlink w:anchor="_Toc24824775" w:history="1">
            <w:r w:rsidRPr="00325B9B">
              <w:rPr>
                <w:rStyle w:val="Hyperlink"/>
                <w:noProof/>
                <w:lang w:val="es-AR"/>
              </w:rPr>
              <w:t>Fuentes consultadas</w:t>
            </w:r>
            <w:r>
              <w:rPr>
                <w:noProof/>
                <w:webHidden/>
              </w:rPr>
              <w:tab/>
            </w:r>
            <w:r>
              <w:rPr>
                <w:noProof/>
                <w:webHidden/>
              </w:rPr>
              <w:fldChar w:fldCharType="begin"/>
            </w:r>
            <w:r>
              <w:rPr>
                <w:noProof/>
                <w:webHidden/>
              </w:rPr>
              <w:instrText xml:space="preserve"> PAGEREF _Toc24824775 \h </w:instrText>
            </w:r>
            <w:r>
              <w:rPr>
                <w:noProof/>
                <w:webHidden/>
              </w:rPr>
            </w:r>
            <w:r>
              <w:rPr>
                <w:noProof/>
                <w:webHidden/>
              </w:rPr>
              <w:fldChar w:fldCharType="separate"/>
            </w:r>
            <w:r w:rsidR="007F5A16">
              <w:rPr>
                <w:noProof/>
                <w:webHidden/>
              </w:rPr>
              <w:t>12</w:t>
            </w:r>
            <w:r>
              <w:rPr>
                <w:noProof/>
                <w:webHidden/>
              </w:rPr>
              <w:fldChar w:fldCharType="end"/>
            </w:r>
          </w:hyperlink>
        </w:p>
        <w:p w:rsidR="00B0678E" w:rsidRDefault="00B0678E">
          <w:r>
            <w:rPr>
              <w:b/>
              <w:bCs/>
              <w:noProof/>
            </w:rPr>
            <w:fldChar w:fldCharType="end"/>
          </w:r>
        </w:p>
      </w:sdtContent>
    </w:sdt>
    <w:p w:rsidR="00B0678E" w:rsidRDefault="00B0678E">
      <w:pPr>
        <w:rPr>
          <w:rFonts w:asciiTheme="majorHAnsi" w:eastAsiaTheme="majorEastAsia" w:hAnsiTheme="majorHAnsi" w:cstheme="majorBidi"/>
          <w:color w:val="2E74B5" w:themeColor="accent1" w:themeShade="BF"/>
          <w:sz w:val="32"/>
          <w:szCs w:val="32"/>
          <w:lang w:val="es-AR"/>
        </w:rPr>
      </w:pPr>
      <w:r>
        <w:rPr>
          <w:lang w:val="es-AR"/>
        </w:rPr>
        <w:br w:type="page"/>
      </w:r>
    </w:p>
    <w:p w:rsidR="00BE4D1D" w:rsidRDefault="003414EB" w:rsidP="00B0678E">
      <w:pPr>
        <w:pStyle w:val="Heading1"/>
        <w:rPr>
          <w:lang w:val="es-AR"/>
        </w:rPr>
      </w:pPr>
      <w:bookmarkStart w:id="0" w:name="_Toc24824766"/>
      <w:r>
        <w:rPr>
          <w:lang w:val="es-AR"/>
        </w:rPr>
        <w:lastRenderedPageBreak/>
        <w:t>Descripción del sector</w:t>
      </w:r>
      <w:bookmarkEnd w:id="0"/>
    </w:p>
    <w:p w:rsidR="003414EB" w:rsidRDefault="003414EB" w:rsidP="005F7607">
      <w:pPr>
        <w:jc w:val="both"/>
        <w:rPr>
          <w:lang w:val="es-AR"/>
        </w:rPr>
      </w:pPr>
      <w:r>
        <w:rPr>
          <w:lang w:val="es-AR"/>
        </w:rPr>
        <w:t xml:space="preserve">El sector de Salud Privada forma parte del sector de </w:t>
      </w:r>
      <w:r w:rsidRPr="003414EB">
        <w:rPr>
          <w:lang w:val="es-AR"/>
        </w:rPr>
        <w:t>Servicios sociales y de salud</w:t>
      </w:r>
      <w:r>
        <w:rPr>
          <w:lang w:val="es-AR"/>
        </w:rPr>
        <w:t xml:space="preserve">, que según la Metodología de estimación del INDEC es un sector en el que </w:t>
      </w:r>
      <w:r w:rsidRPr="003414EB">
        <w:rPr>
          <w:i/>
          <w:lang w:val="es-AR"/>
        </w:rPr>
        <w:t>se encuentran incluidos los servicios de salud humana, veterinarios, de salud y sociales.</w:t>
      </w:r>
      <w:r>
        <w:rPr>
          <w:lang w:val="es-AR"/>
        </w:rPr>
        <w:t xml:space="preserve"> </w:t>
      </w:r>
    </w:p>
    <w:p w:rsidR="00213CBB" w:rsidRDefault="00213CBB" w:rsidP="005F7607">
      <w:pPr>
        <w:jc w:val="both"/>
        <w:rPr>
          <w:lang w:val="es-AR"/>
        </w:rPr>
      </w:pPr>
      <w:r>
        <w:rPr>
          <w:lang w:val="es-AR"/>
        </w:rPr>
        <w:t>En nuestro caso se analizará solamente el sector de Salud privada.</w:t>
      </w:r>
    </w:p>
    <w:p w:rsidR="00213CBB" w:rsidRDefault="00213CBB" w:rsidP="00B0678E">
      <w:pPr>
        <w:pStyle w:val="Heading1"/>
        <w:rPr>
          <w:lang w:val="es-AR"/>
        </w:rPr>
      </w:pPr>
      <w:bookmarkStart w:id="1" w:name="_Toc24824767"/>
      <w:r>
        <w:rPr>
          <w:lang w:val="es-AR"/>
        </w:rPr>
        <w:t>Valor agregado a precios constantes</w:t>
      </w:r>
      <w:bookmarkEnd w:id="1"/>
    </w:p>
    <w:p w:rsidR="00213CBB" w:rsidRDefault="005F7607" w:rsidP="005F7607">
      <w:pPr>
        <w:jc w:val="both"/>
        <w:rPr>
          <w:lang w:val="es-AR"/>
        </w:rPr>
      </w:pPr>
      <w:r w:rsidRPr="005F7607">
        <w:rPr>
          <w:lang w:val="es-AR"/>
        </w:rPr>
        <w:t xml:space="preserve">En primer lugar, se ha graficado el valor agregado </w:t>
      </w:r>
      <w:r>
        <w:rPr>
          <w:lang w:val="es-AR"/>
        </w:rPr>
        <w:t>para el sector de Salud Privada con el fin de obtener una percepción rápida de la evolución de la actividad junto al total país de la misma variable y poder determinar si el sector bajo estudio ha crecido a mayor o menor ritmo que el resto de la economía.</w:t>
      </w:r>
    </w:p>
    <w:p w:rsidR="005F7607" w:rsidRDefault="005F7607" w:rsidP="005F7607">
      <w:pPr>
        <w:jc w:val="both"/>
        <w:rPr>
          <w:lang w:val="es-AR"/>
        </w:rPr>
      </w:pPr>
      <w:r>
        <w:rPr>
          <w:noProof/>
        </w:rPr>
        <w:drawing>
          <wp:inline distT="0" distB="0" distL="0" distR="0" wp14:anchorId="15FC24E4" wp14:editId="052008DC">
            <wp:extent cx="5943600" cy="3566160"/>
            <wp:effectExtent l="0" t="0" r="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81C77" w:rsidRDefault="00E81C77" w:rsidP="005F7607">
      <w:pPr>
        <w:jc w:val="both"/>
        <w:rPr>
          <w:lang w:val="es-AR"/>
        </w:rPr>
      </w:pPr>
      <w:r>
        <w:rPr>
          <w:lang w:val="es-AR"/>
        </w:rPr>
        <w:t>En el gráfico se pueden distinguir dos claros segmentos temporales, a saber: desde el primer trimestre de 2004 hasta el primer trimestre de 2009, y el segundo que va desde el primer trimestre de 2009 hasta la actualidad.</w:t>
      </w:r>
    </w:p>
    <w:p w:rsidR="00E81C77" w:rsidRDefault="00E81C77" w:rsidP="005F7607">
      <w:pPr>
        <w:jc w:val="both"/>
        <w:rPr>
          <w:lang w:val="es-AR"/>
        </w:rPr>
      </w:pPr>
      <w:r>
        <w:rPr>
          <w:lang w:val="es-AR"/>
        </w:rPr>
        <w:t xml:space="preserve">En el primer segmento temporal se observa un crecimiento paralelo entre el sector bajo estudio y el resto de la economía. </w:t>
      </w:r>
    </w:p>
    <w:p w:rsidR="005F7607" w:rsidRDefault="00E81C77" w:rsidP="005F7607">
      <w:pPr>
        <w:jc w:val="both"/>
        <w:rPr>
          <w:lang w:val="es-AR"/>
        </w:rPr>
      </w:pPr>
      <w:r>
        <w:rPr>
          <w:lang w:val="es-AR"/>
        </w:rPr>
        <w:t xml:space="preserve">En el segundo segmento temporal, sin embargo, se observa que el resto de la economía baja significativamente el crecimiento, al punto de ser casi constante, mientras que el sector bajo estudio no ha cambiado la tendencia de crecimiento que se venía observado en el primer segmento temporal, y por lo tanto la conclusión de este segundo segmento temporal es que el sector bajo estudio ha crecido a un mayor ritmo que el resto de la economía. </w:t>
      </w:r>
    </w:p>
    <w:p w:rsidR="0087160C" w:rsidRDefault="0087160C" w:rsidP="005F7607">
      <w:pPr>
        <w:jc w:val="both"/>
        <w:rPr>
          <w:lang w:val="es-AR"/>
        </w:rPr>
      </w:pPr>
      <w:r>
        <w:rPr>
          <w:lang w:val="es-AR"/>
        </w:rPr>
        <w:lastRenderedPageBreak/>
        <w:t>Una vez obtenido el panorama general, se ha medido el nivel de la actividad calculando la tasa de crecimiento respecto del mismo período año base y de años significativos, a saber: año anterior, 2008 (por la crisis, que además se puede ver en el gráfico con una enorme variación de los valores agregados), 2009 (año de ‘recuperación’ de la mencionada crisis). El cálculo se resolvió tanto para el sector bajo estudio como para el total de la economía, a fin de poder realizar el análisis comparativo que tiene como temática vertebral el trabajo presentado.</w:t>
      </w:r>
    </w:p>
    <w:p w:rsidR="0087160C" w:rsidRDefault="0087160C" w:rsidP="005F7607">
      <w:pPr>
        <w:jc w:val="both"/>
        <w:rPr>
          <w:lang w:val="es-AR"/>
        </w:rPr>
      </w:pPr>
      <w:r>
        <w:rPr>
          <w:lang w:val="es-AR"/>
        </w:rPr>
        <w:t>En primer lugar, se puede observar que en la mayoría de los casos la tasa de crecimiento del sector bajo estudio es mayor a la del total del país.</w:t>
      </w:r>
    </w:p>
    <w:p w:rsidR="00C063C9" w:rsidRDefault="00C063C9" w:rsidP="005F7607">
      <w:pPr>
        <w:jc w:val="both"/>
        <w:rPr>
          <w:lang w:val="es-AR"/>
        </w:rPr>
      </w:pPr>
      <w:r>
        <w:rPr>
          <w:lang w:val="es-AR"/>
        </w:rPr>
        <w:t>Otro punto muy importante a tener en cuenta es que el único período, de los que se estudiaron más detalladamente, en que se obtiene una tasa de crecimiento menor en el sector bajo estudio que en el total de la economía es en la tasa calculad</w:t>
      </w:r>
      <w:r w:rsidR="00184383">
        <w:rPr>
          <w:lang w:val="es-AR"/>
        </w:rPr>
        <w:t>a</w:t>
      </w:r>
      <w:r>
        <w:rPr>
          <w:lang w:val="es-AR"/>
        </w:rPr>
        <w:t xml:space="preserve"> respecto al año anterior.</w:t>
      </w:r>
    </w:p>
    <w:p w:rsidR="00894D98" w:rsidRDefault="00C063C9" w:rsidP="00EA7482">
      <w:pPr>
        <w:jc w:val="both"/>
        <w:rPr>
          <w:lang w:val="es-AR"/>
        </w:rPr>
      </w:pPr>
      <w:r>
        <w:rPr>
          <w:lang w:val="es-AR"/>
        </w:rPr>
        <w:t xml:space="preserve">Cerramos el análisis de esta sección con un interrogante que obligatoriamente salta a la vista y que pone en duda las tendencias positivas que se venían observando previamente. </w:t>
      </w:r>
      <w:r w:rsidRPr="00C063C9">
        <w:rPr>
          <w:b/>
          <w:lang w:val="es-AR"/>
        </w:rPr>
        <w:t xml:space="preserve">¿Significa </w:t>
      </w:r>
      <w:r>
        <w:rPr>
          <w:b/>
          <w:lang w:val="es-AR"/>
        </w:rPr>
        <w:t xml:space="preserve">el cambio de tendencia en el último año de estudio </w:t>
      </w:r>
      <w:r w:rsidRPr="00C063C9">
        <w:rPr>
          <w:b/>
          <w:lang w:val="es-AR"/>
        </w:rPr>
        <w:t xml:space="preserve">que ha convenido invertir hasta ahora, pero que a partir de ahora la tendencia de mayor crecimiento del sector bajo estudio respecto del resto de la economía </w:t>
      </w:r>
      <w:r>
        <w:rPr>
          <w:b/>
          <w:lang w:val="es-AR"/>
        </w:rPr>
        <w:t>se invertirá, dejando al</w:t>
      </w:r>
      <w:r w:rsidRPr="00C063C9">
        <w:rPr>
          <w:lang w:val="es-AR"/>
        </w:rPr>
        <w:t xml:space="preserve"> </w:t>
      </w:r>
      <w:r w:rsidRPr="00C063C9">
        <w:rPr>
          <w:b/>
          <w:lang w:val="es-AR"/>
        </w:rPr>
        <w:t>sector bajo estudio</w:t>
      </w:r>
      <w:r>
        <w:rPr>
          <w:b/>
          <w:lang w:val="es-AR"/>
        </w:rPr>
        <w:t xml:space="preserve"> en desventaja</w:t>
      </w:r>
      <w:r w:rsidRPr="00C063C9">
        <w:rPr>
          <w:b/>
          <w:lang w:val="es-AR"/>
        </w:rPr>
        <w:t>?</w:t>
      </w:r>
      <w:r>
        <w:rPr>
          <w:lang w:val="es-AR"/>
        </w:rPr>
        <w:fldChar w:fldCharType="begin"/>
      </w:r>
      <w:r>
        <w:rPr>
          <w:lang w:val="es-AR"/>
        </w:rPr>
        <w:instrText xml:space="preserve"> LINK </w:instrText>
      </w:r>
      <w:r w:rsidR="00334C89">
        <w:rPr>
          <w:lang w:val="es-AR"/>
        </w:rPr>
        <w:instrText xml:space="preserve">Excel.Sheet.12 "C:\\Users\\mati_\\Desktop\\EEA - Trabajo Práctico Análisis Sectorial Segundo Semestre 2019\\my plots.xlsx" Sheet1!R36C3:R39C7 </w:instrText>
      </w:r>
      <w:r>
        <w:rPr>
          <w:lang w:val="es-AR"/>
        </w:rPr>
        <w:instrText xml:space="preserve">\a \f 4 \h  \* MERGEFORMAT </w:instrText>
      </w:r>
      <w:r w:rsidR="00334C89">
        <w:rPr>
          <w:lang w:val="es-AR"/>
        </w:rPr>
        <w:fldChar w:fldCharType="separate"/>
      </w:r>
      <w:r>
        <w:rPr>
          <w:lang w:val="es-AR"/>
        </w:rPr>
        <w:fldChar w:fldCharType="end"/>
      </w:r>
    </w:p>
    <w:tbl>
      <w:tblPr>
        <w:tblW w:w="8846" w:type="dxa"/>
        <w:jc w:val="center"/>
        <w:tblLayout w:type="fixed"/>
        <w:tblCellMar>
          <w:left w:w="0" w:type="dxa"/>
          <w:right w:w="0" w:type="dxa"/>
        </w:tblCellMar>
        <w:tblLook w:val="04A0" w:firstRow="1" w:lastRow="0" w:firstColumn="1" w:lastColumn="0" w:noHBand="0" w:noVBand="1"/>
      </w:tblPr>
      <w:tblGrid>
        <w:gridCol w:w="1768"/>
        <w:gridCol w:w="1769"/>
        <w:gridCol w:w="1770"/>
        <w:gridCol w:w="1769"/>
        <w:gridCol w:w="1770"/>
      </w:tblGrid>
      <w:tr w:rsidR="00894D98" w:rsidTr="00894D98">
        <w:trPr>
          <w:trHeight w:val="273"/>
          <w:jc w:val="center"/>
        </w:trPr>
        <w:tc>
          <w:tcPr>
            <w:tcW w:w="1768"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894D98" w:rsidRPr="00AB132A" w:rsidRDefault="00894D98" w:rsidP="00894D98">
            <w:pPr>
              <w:jc w:val="center"/>
              <w:rPr>
                <w:rFonts w:ascii="Calibri" w:hAnsi="Calibri" w:cs="Calibri"/>
                <w:b/>
                <w:color w:val="000000"/>
              </w:rPr>
            </w:pPr>
            <w:proofErr w:type="spellStart"/>
            <w:r w:rsidRPr="00AB132A">
              <w:rPr>
                <w:rFonts w:ascii="Calibri" w:hAnsi="Calibri" w:cs="Calibri"/>
                <w:b/>
                <w:color w:val="000000"/>
              </w:rPr>
              <w:t>Tasa</w:t>
            </w:r>
            <w:proofErr w:type="spellEnd"/>
            <w:r w:rsidRPr="00AB132A">
              <w:rPr>
                <w:rFonts w:ascii="Calibri" w:hAnsi="Calibri" w:cs="Calibri"/>
                <w:b/>
                <w:color w:val="000000"/>
              </w:rPr>
              <w:t xml:space="preserve"> de </w:t>
            </w:r>
            <w:proofErr w:type="spellStart"/>
            <w:r w:rsidRPr="00AB132A">
              <w:rPr>
                <w:rFonts w:ascii="Calibri" w:hAnsi="Calibri" w:cs="Calibri"/>
                <w:b/>
                <w:color w:val="000000"/>
              </w:rPr>
              <w:t>crecimiento</w:t>
            </w:r>
            <w:proofErr w:type="spellEnd"/>
          </w:p>
        </w:tc>
        <w:tc>
          <w:tcPr>
            <w:tcW w:w="1769" w:type="dxa"/>
            <w:tcBorders>
              <w:top w:val="single" w:sz="8" w:space="0" w:color="auto"/>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894D98" w:rsidRPr="00AB132A" w:rsidRDefault="00894D98" w:rsidP="00894D98">
            <w:pPr>
              <w:jc w:val="center"/>
              <w:rPr>
                <w:rFonts w:ascii="Calibri" w:hAnsi="Calibri" w:cs="Calibri"/>
                <w:b/>
                <w:color w:val="000000"/>
              </w:rPr>
            </w:pPr>
            <w:proofErr w:type="spellStart"/>
            <w:r w:rsidRPr="00AB132A">
              <w:rPr>
                <w:rFonts w:ascii="Calibri" w:hAnsi="Calibri" w:cs="Calibri"/>
                <w:b/>
                <w:color w:val="000000"/>
              </w:rPr>
              <w:t>Mismo</w:t>
            </w:r>
            <w:proofErr w:type="spellEnd"/>
            <w:r w:rsidRPr="00AB132A">
              <w:rPr>
                <w:rFonts w:ascii="Calibri" w:hAnsi="Calibri" w:cs="Calibri"/>
                <w:b/>
                <w:color w:val="000000"/>
              </w:rPr>
              <w:t xml:space="preserve"> </w:t>
            </w:r>
            <w:proofErr w:type="spellStart"/>
            <w:r w:rsidRPr="00AB132A">
              <w:rPr>
                <w:rFonts w:ascii="Calibri" w:hAnsi="Calibri" w:cs="Calibri"/>
                <w:b/>
                <w:color w:val="000000"/>
              </w:rPr>
              <w:t>periodo</w:t>
            </w:r>
            <w:proofErr w:type="spellEnd"/>
            <w:r w:rsidRPr="00AB132A">
              <w:rPr>
                <w:rFonts w:ascii="Calibri" w:hAnsi="Calibri" w:cs="Calibri"/>
                <w:b/>
                <w:color w:val="000000"/>
              </w:rPr>
              <w:t xml:space="preserve"> </w:t>
            </w:r>
            <w:proofErr w:type="spellStart"/>
            <w:r w:rsidRPr="00AB132A">
              <w:rPr>
                <w:rFonts w:ascii="Calibri" w:hAnsi="Calibri" w:cs="Calibri"/>
                <w:b/>
                <w:color w:val="000000"/>
              </w:rPr>
              <w:t>año</w:t>
            </w:r>
            <w:proofErr w:type="spellEnd"/>
            <w:r w:rsidRPr="00AB132A">
              <w:rPr>
                <w:rFonts w:ascii="Calibri" w:hAnsi="Calibri" w:cs="Calibri"/>
                <w:b/>
                <w:color w:val="000000"/>
              </w:rPr>
              <w:t xml:space="preserve"> anterior</w:t>
            </w:r>
          </w:p>
        </w:tc>
        <w:tc>
          <w:tcPr>
            <w:tcW w:w="1770" w:type="dxa"/>
            <w:tcBorders>
              <w:top w:val="single" w:sz="8" w:space="0" w:color="auto"/>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894D98" w:rsidRPr="00AB132A" w:rsidRDefault="00894D98" w:rsidP="00894D98">
            <w:pPr>
              <w:jc w:val="center"/>
              <w:rPr>
                <w:rFonts w:ascii="Calibri" w:hAnsi="Calibri" w:cs="Calibri"/>
                <w:b/>
                <w:color w:val="000000"/>
              </w:rPr>
            </w:pPr>
            <w:proofErr w:type="spellStart"/>
            <w:r w:rsidRPr="00AB132A">
              <w:rPr>
                <w:rFonts w:ascii="Calibri" w:hAnsi="Calibri" w:cs="Calibri"/>
                <w:b/>
                <w:color w:val="000000"/>
              </w:rPr>
              <w:t>Mismo</w:t>
            </w:r>
            <w:proofErr w:type="spellEnd"/>
            <w:r w:rsidRPr="00AB132A">
              <w:rPr>
                <w:rFonts w:ascii="Calibri" w:hAnsi="Calibri" w:cs="Calibri"/>
                <w:b/>
                <w:color w:val="000000"/>
              </w:rPr>
              <w:t xml:space="preserve"> </w:t>
            </w:r>
            <w:proofErr w:type="spellStart"/>
            <w:r w:rsidRPr="00AB132A">
              <w:rPr>
                <w:rFonts w:ascii="Calibri" w:hAnsi="Calibri" w:cs="Calibri"/>
                <w:b/>
                <w:color w:val="000000"/>
              </w:rPr>
              <w:t>período</w:t>
            </w:r>
            <w:proofErr w:type="spellEnd"/>
            <w:r w:rsidRPr="00AB132A">
              <w:rPr>
                <w:rFonts w:ascii="Calibri" w:hAnsi="Calibri" w:cs="Calibri"/>
                <w:b/>
                <w:color w:val="000000"/>
              </w:rPr>
              <w:t xml:space="preserve"> </w:t>
            </w:r>
            <w:proofErr w:type="spellStart"/>
            <w:r w:rsidRPr="00AB132A">
              <w:rPr>
                <w:rFonts w:ascii="Calibri" w:hAnsi="Calibri" w:cs="Calibri"/>
                <w:b/>
                <w:color w:val="000000"/>
              </w:rPr>
              <w:t>año</w:t>
            </w:r>
            <w:proofErr w:type="spellEnd"/>
            <w:r w:rsidRPr="00AB132A">
              <w:rPr>
                <w:rFonts w:ascii="Calibri" w:hAnsi="Calibri" w:cs="Calibri"/>
                <w:b/>
                <w:color w:val="000000"/>
              </w:rPr>
              <w:t xml:space="preserve"> 2004</w:t>
            </w:r>
          </w:p>
        </w:tc>
        <w:tc>
          <w:tcPr>
            <w:tcW w:w="1769" w:type="dxa"/>
            <w:tcBorders>
              <w:top w:val="single" w:sz="8" w:space="0" w:color="auto"/>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894D98" w:rsidRPr="00AB132A" w:rsidRDefault="00894D98" w:rsidP="00894D98">
            <w:pPr>
              <w:jc w:val="center"/>
              <w:rPr>
                <w:rFonts w:ascii="Calibri" w:hAnsi="Calibri" w:cs="Calibri"/>
                <w:b/>
                <w:color w:val="000000"/>
              </w:rPr>
            </w:pPr>
            <w:proofErr w:type="spellStart"/>
            <w:r w:rsidRPr="00AB132A">
              <w:rPr>
                <w:rFonts w:ascii="Calibri" w:hAnsi="Calibri" w:cs="Calibri"/>
                <w:b/>
                <w:color w:val="000000"/>
              </w:rPr>
              <w:t>Mismo</w:t>
            </w:r>
            <w:proofErr w:type="spellEnd"/>
            <w:r w:rsidRPr="00AB132A">
              <w:rPr>
                <w:rFonts w:ascii="Calibri" w:hAnsi="Calibri" w:cs="Calibri"/>
                <w:b/>
                <w:color w:val="000000"/>
              </w:rPr>
              <w:t xml:space="preserve"> </w:t>
            </w:r>
            <w:proofErr w:type="spellStart"/>
            <w:r w:rsidRPr="00AB132A">
              <w:rPr>
                <w:rFonts w:ascii="Calibri" w:hAnsi="Calibri" w:cs="Calibri"/>
                <w:b/>
                <w:color w:val="000000"/>
              </w:rPr>
              <w:t>período</w:t>
            </w:r>
            <w:proofErr w:type="spellEnd"/>
            <w:r w:rsidRPr="00AB132A">
              <w:rPr>
                <w:rFonts w:ascii="Calibri" w:hAnsi="Calibri" w:cs="Calibri"/>
                <w:b/>
                <w:color w:val="000000"/>
              </w:rPr>
              <w:t xml:space="preserve"> </w:t>
            </w:r>
            <w:proofErr w:type="spellStart"/>
            <w:r w:rsidRPr="00AB132A">
              <w:rPr>
                <w:rFonts w:ascii="Calibri" w:hAnsi="Calibri" w:cs="Calibri"/>
                <w:b/>
                <w:color w:val="000000"/>
              </w:rPr>
              <w:t>año</w:t>
            </w:r>
            <w:proofErr w:type="spellEnd"/>
            <w:r w:rsidRPr="00AB132A">
              <w:rPr>
                <w:rFonts w:ascii="Calibri" w:hAnsi="Calibri" w:cs="Calibri"/>
                <w:b/>
                <w:color w:val="000000"/>
              </w:rPr>
              <w:t xml:space="preserve"> 2008</w:t>
            </w:r>
          </w:p>
        </w:tc>
        <w:tc>
          <w:tcPr>
            <w:tcW w:w="177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894D98" w:rsidRPr="00AB132A" w:rsidRDefault="00894D98" w:rsidP="00894D98">
            <w:pPr>
              <w:jc w:val="center"/>
              <w:rPr>
                <w:rFonts w:ascii="Calibri" w:hAnsi="Calibri" w:cs="Calibri"/>
                <w:b/>
                <w:color w:val="000000"/>
              </w:rPr>
            </w:pPr>
            <w:proofErr w:type="spellStart"/>
            <w:r w:rsidRPr="00AB132A">
              <w:rPr>
                <w:rFonts w:ascii="Calibri" w:hAnsi="Calibri" w:cs="Calibri"/>
                <w:b/>
                <w:color w:val="000000"/>
              </w:rPr>
              <w:t>Mismo</w:t>
            </w:r>
            <w:proofErr w:type="spellEnd"/>
            <w:r w:rsidRPr="00AB132A">
              <w:rPr>
                <w:rFonts w:ascii="Calibri" w:hAnsi="Calibri" w:cs="Calibri"/>
                <w:b/>
                <w:color w:val="000000"/>
              </w:rPr>
              <w:t xml:space="preserve"> </w:t>
            </w:r>
            <w:proofErr w:type="spellStart"/>
            <w:r w:rsidRPr="00AB132A">
              <w:rPr>
                <w:rFonts w:ascii="Calibri" w:hAnsi="Calibri" w:cs="Calibri"/>
                <w:b/>
                <w:color w:val="000000"/>
              </w:rPr>
              <w:t>período</w:t>
            </w:r>
            <w:proofErr w:type="spellEnd"/>
            <w:r w:rsidRPr="00AB132A">
              <w:rPr>
                <w:rFonts w:ascii="Calibri" w:hAnsi="Calibri" w:cs="Calibri"/>
                <w:b/>
                <w:color w:val="000000"/>
              </w:rPr>
              <w:t xml:space="preserve"> </w:t>
            </w:r>
            <w:proofErr w:type="spellStart"/>
            <w:r w:rsidRPr="00AB132A">
              <w:rPr>
                <w:rFonts w:ascii="Calibri" w:hAnsi="Calibri" w:cs="Calibri"/>
                <w:b/>
                <w:color w:val="000000"/>
              </w:rPr>
              <w:t>año</w:t>
            </w:r>
            <w:proofErr w:type="spellEnd"/>
            <w:r w:rsidRPr="00AB132A">
              <w:rPr>
                <w:rFonts w:ascii="Calibri" w:hAnsi="Calibri" w:cs="Calibri"/>
                <w:b/>
                <w:color w:val="000000"/>
              </w:rPr>
              <w:t xml:space="preserve"> 2009</w:t>
            </w:r>
          </w:p>
        </w:tc>
      </w:tr>
      <w:tr w:rsidR="00894D98" w:rsidTr="00894D98">
        <w:trPr>
          <w:trHeight w:val="260"/>
          <w:jc w:val="center"/>
        </w:trPr>
        <w:tc>
          <w:tcPr>
            <w:tcW w:w="1768" w:type="dxa"/>
            <w:tcBorders>
              <w:top w:val="nil"/>
              <w:left w:val="single" w:sz="8" w:space="0" w:color="auto"/>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894D98" w:rsidRPr="00AB132A" w:rsidRDefault="00894D98" w:rsidP="00894D98">
            <w:pPr>
              <w:jc w:val="center"/>
              <w:rPr>
                <w:rFonts w:ascii="Calibri" w:hAnsi="Calibri" w:cs="Calibri"/>
                <w:b/>
                <w:color w:val="000000"/>
              </w:rPr>
            </w:pPr>
            <w:r w:rsidRPr="00AB132A">
              <w:rPr>
                <w:rFonts w:ascii="Calibri" w:hAnsi="Calibri" w:cs="Calibri"/>
                <w:b/>
                <w:color w:val="000000"/>
              </w:rPr>
              <w:t xml:space="preserve">Sector </w:t>
            </w:r>
            <w:proofErr w:type="spellStart"/>
            <w:r w:rsidRPr="00AB132A">
              <w:rPr>
                <w:rFonts w:ascii="Calibri" w:hAnsi="Calibri" w:cs="Calibri"/>
                <w:b/>
                <w:color w:val="000000"/>
              </w:rPr>
              <w:t>bajo</w:t>
            </w:r>
            <w:proofErr w:type="spellEnd"/>
            <w:r w:rsidRPr="00AB132A">
              <w:rPr>
                <w:rFonts w:ascii="Calibri" w:hAnsi="Calibri" w:cs="Calibri"/>
                <w:b/>
                <w:color w:val="000000"/>
              </w:rPr>
              <w:t xml:space="preserve"> </w:t>
            </w:r>
            <w:proofErr w:type="spellStart"/>
            <w:r w:rsidRPr="00AB132A">
              <w:rPr>
                <w:rFonts w:ascii="Calibri" w:hAnsi="Calibri" w:cs="Calibri"/>
                <w:b/>
                <w:color w:val="000000"/>
              </w:rPr>
              <w:t>estudio</w:t>
            </w:r>
            <w:proofErr w:type="spellEnd"/>
          </w:p>
        </w:tc>
        <w:tc>
          <w:tcPr>
            <w:tcW w:w="176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-0.21%</w:t>
            </w:r>
          </w:p>
        </w:tc>
        <w:tc>
          <w:tcPr>
            <w:tcW w:w="17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96.73%</w:t>
            </w:r>
          </w:p>
        </w:tc>
        <w:tc>
          <w:tcPr>
            <w:tcW w:w="176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48.88%</w:t>
            </w:r>
          </w:p>
        </w:tc>
        <w:tc>
          <w:tcPr>
            <w:tcW w:w="1770"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35.83%</w:t>
            </w:r>
          </w:p>
        </w:tc>
      </w:tr>
      <w:tr w:rsidR="00894D98" w:rsidTr="00894D98">
        <w:trPr>
          <w:trHeight w:val="273"/>
          <w:jc w:val="center"/>
        </w:trPr>
        <w:tc>
          <w:tcPr>
            <w:tcW w:w="176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894D98" w:rsidRPr="00AB132A" w:rsidRDefault="00894D98" w:rsidP="00894D98">
            <w:pPr>
              <w:jc w:val="center"/>
              <w:rPr>
                <w:rFonts w:ascii="Calibri" w:hAnsi="Calibri" w:cs="Calibri"/>
                <w:b/>
                <w:color w:val="000000"/>
              </w:rPr>
            </w:pPr>
            <w:r w:rsidRPr="00AB132A">
              <w:rPr>
                <w:rFonts w:ascii="Calibri" w:hAnsi="Calibri" w:cs="Calibri"/>
                <w:b/>
                <w:color w:val="000000"/>
              </w:rPr>
              <w:t xml:space="preserve">Total del </w:t>
            </w:r>
            <w:proofErr w:type="spellStart"/>
            <w:r w:rsidRPr="00AB132A">
              <w:rPr>
                <w:rFonts w:ascii="Calibri" w:hAnsi="Calibri" w:cs="Calibri"/>
                <w:b/>
                <w:color w:val="000000"/>
              </w:rPr>
              <w:t>país</w:t>
            </w:r>
            <w:proofErr w:type="spellEnd"/>
          </w:p>
        </w:tc>
        <w:tc>
          <w:tcPr>
            <w:tcW w:w="1769"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1.44%</w:t>
            </w:r>
          </w:p>
        </w:tc>
        <w:tc>
          <w:tcPr>
            <w:tcW w:w="1770"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44.66%</w:t>
            </w:r>
          </w:p>
        </w:tc>
        <w:tc>
          <w:tcPr>
            <w:tcW w:w="1769"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5.35%</w:t>
            </w:r>
          </w:p>
        </w:tc>
        <w:tc>
          <w:tcPr>
            <w:tcW w:w="1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19.41%</w:t>
            </w:r>
          </w:p>
        </w:tc>
      </w:tr>
      <w:tr w:rsidR="00894D98" w:rsidTr="00894D98">
        <w:trPr>
          <w:trHeight w:val="273"/>
          <w:jc w:val="center"/>
        </w:trPr>
        <w:tc>
          <w:tcPr>
            <w:tcW w:w="176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894D98" w:rsidRPr="00AB132A" w:rsidRDefault="00AB132A" w:rsidP="00894D98">
            <w:pPr>
              <w:jc w:val="center"/>
              <w:rPr>
                <w:rFonts w:ascii="Calibri" w:hAnsi="Calibri" w:cs="Calibri"/>
                <w:b/>
                <w:color w:val="000000"/>
              </w:rPr>
            </w:pPr>
            <w:proofErr w:type="spellStart"/>
            <w:r w:rsidRPr="00AB132A">
              <w:rPr>
                <w:rFonts w:ascii="Calibri" w:hAnsi="Calibri" w:cs="Calibri"/>
                <w:b/>
                <w:color w:val="000000"/>
              </w:rPr>
              <w:t>D</w:t>
            </w:r>
            <w:r w:rsidR="00894D98" w:rsidRPr="00AB132A">
              <w:rPr>
                <w:rFonts w:ascii="Calibri" w:hAnsi="Calibri" w:cs="Calibri"/>
                <w:b/>
                <w:color w:val="000000"/>
              </w:rPr>
              <w:t>iferencia</w:t>
            </w:r>
            <w:proofErr w:type="spellEnd"/>
          </w:p>
        </w:tc>
        <w:tc>
          <w:tcPr>
            <w:tcW w:w="1769"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1.65%</w:t>
            </w:r>
          </w:p>
        </w:tc>
        <w:tc>
          <w:tcPr>
            <w:tcW w:w="1770"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52.07%</w:t>
            </w:r>
          </w:p>
        </w:tc>
        <w:tc>
          <w:tcPr>
            <w:tcW w:w="1769"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43.53%</w:t>
            </w:r>
          </w:p>
        </w:tc>
        <w:tc>
          <w:tcPr>
            <w:tcW w:w="1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894D98" w:rsidRDefault="00894D98" w:rsidP="00894D98">
            <w:pPr>
              <w:jc w:val="center"/>
              <w:rPr>
                <w:rFonts w:ascii="Calibri" w:hAnsi="Calibri" w:cs="Calibri"/>
                <w:color w:val="000000"/>
              </w:rPr>
            </w:pPr>
            <w:r>
              <w:rPr>
                <w:rFonts w:ascii="Calibri" w:hAnsi="Calibri" w:cs="Calibri"/>
                <w:color w:val="000000"/>
              </w:rPr>
              <w:t>16.42%</w:t>
            </w:r>
          </w:p>
        </w:tc>
      </w:tr>
    </w:tbl>
    <w:p w:rsidR="00C063C9" w:rsidRPr="00AB132A" w:rsidRDefault="00C063C9" w:rsidP="00C063C9">
      <w:pPr>
        <w:jc w:val="center"/>
        <w:rPr>
          <w:i/>
          <w:lang w:val="es-AR"/>
        </w:rPr>
      </w:pPr>
      <w:r w:rsidRPr="00AB132A">
        <w:rPr>
          <w:i/>
          <w:lang w:val="es-AR"/>
        </w:rPr>
        <w:t>Tasas de crecimiento para los períodos de interés.</w:t>
      </w:r>
    </w:p>
    <w:p w:rsidR="00347039" w:rsidRDefault="00347039">
      <w:pPr>
        <w:rPr>
          <w:rFonts w:asciiTheme="majorHAnsi" w:eastAsiaTheme="majorEastAsia" w:hAnsiTheme="majorHAnsi" w:cstheme="majorBidi"/>
          <w:color w:val="2E74B5" w:themeColor="accent1" w:themeShade="BF"/>
          <w:sz w:val="32"/>
          <w:szCs w:val="32"/>
          <w:lang w:val="es-AR"/>
        </w:rPr>
      </w:pPr>
      <w:r>
        <w:rPr>
          <w:lang w:val="es-AR"/>
        </w:rPr>
        <w:br w:type="page"/>
      </w:r>
    </w:p>
    <w:p w:rsidR="00C063C9" w:rsidRDefault="00B0678E" w:rsidP="00B0678E">
      <w:pPr>
        <w:pStyle w:val="Heading1"/>
        <w:rPr>
          <w:lang w:val="es-AR"/>
        </w:rPr>
      </w:pPr>
      <w:bookmarkStart w:id="2" w:name="_Toc24824768"/>
      <w:r>
        <w:rPr>
          <w:lang w:val="es-AR"/>
        </w:rPr>
        <w:lastRenderedPageBreak/>
        <w:t>Índice de precios implícitos</w:t>
      </w:r>
      <w:bookmarkEnd w:id="2"/>
    </w:p>
    <w:p w:rsidR="00B0678E" w:rsidRDefault="00B339F0" w:rsidP="005F7607">
      <w:pPr>
        <w:jc w:val="both"/>
        <w:rPr>
          <w:lang w:val="es-AR"/>
        </w:rPr>
      </w:pPr>
      <w:r>
        <w:rPr>
          <w:lang w:val="es-AR"/>
        </w:rPr>
        <w:t xml:space="preserve">En esta sección se analiza </w:t>
      </w:r>
      <w:r w:rsidR="00201C61">
        <w:rPr>
          <w:lang w:val="es-AR"/>
        </w:rPr>
        <w:t xml:space="preserve">cuál fue el comportamiento del </w:t>
      </w:r>
      <w:r>
        <w:rPr>
          <w:lang w:val="es-AR"/>
        </w:rPr>
        <w:t xml:space="preserve">sector bajo estudio </w:t>
      </w:r>
      <w:r w:rsidR="00201C61">
        <w:rPr>
          <w:lang w:val="es-AR"/>
        </w:rPr>
        <w:t>respecto de la inflación, para saber si el mismo quedó perdiendo por rezagado o ganando por liderar el proceso inflacionario.</w:t>
      </w:r>
    </w:p>
    <w:p w:rsidR="00201C61" w:rsidRDefault="00201C61" w:rsidP="005F7607">
      <w:pPr>
        <w:jc w:val="both"/>
        <w:rPr>
          <w:lang w:val="es-AR"/>
        </w:rPr>
      </w:pPr>
      <w:r>
        <w:rPr>
          <w:noProof/>
        </w:rPr>
        <w:drawing>
          <wp:inline distT="0" distB="0" distL="0" distR="0" wp14:anchorId="3900A515" wp14:editId="68C9E334">
            <wp:extent cx="5943600" cy="35661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2763F" w:rsidRDefault="00201C61" w:rsidP="00F2763F">
      <w:pPr>
        <w:jc w:val="both"/>
        <w:rPr>
          <w:lang w:val="es-AR"/>
        </w:rPr>
      </w:pPr>
      <w:r>
        <w:rPr>
          <w:lang w:val="es-AR"/>
        </w:rPr>
        <w:t>Se puede ver muy claramente que el sector bajo estudio ha liderado el proceso inflacionario</w:t>
      </w:r>
      <w:r w:rsidR="00F2763F">
        <w:rPr>
          <w:lang w:val="es-AR"/>
        </w:rPr>
        <w:t xml:space="preserve"> hasta el año 2012</w:t>
      </w:r>
      <w:r>
        <w:rPr>
          <w:lang w:val="es-AR"/>
        </w:rPr>
        <w:t xml:space="preserve">. </w:t>
      </w:r>
      <w:r w:rsidR="00F2763F">
        <w:rPr>
          <w:lang w:val="es-AR"/>
        </w:rPr>
        <w:t xml:space="preserve">Una </w:t>
      </w:r>
      <w:r w:rsidR="00F2763F" w:rsidRPr="00201C61">
        <w:rPr>
          <w:b/>
          <w:lang w:val="es-AR"/>
        </w:rPr>
        <w:t>posible hipótesis</w:t>
      </w:r>
      <w:r w:rsidR="00F2763F">
        <w:rPr>
          <w:lang w:val="es-AR"/>
        </w:rPr>
        <w:t xml:space="preserve"> que explica esto es el hecho de que la salud privada es un sector que depende muchísimo de insumos del exterior que obviamente se manejan en moneda extranjera. Esto hace que los precios estén muy ligados en gran parte a los precios del exterior, lo que lleva naturalmente al sector bajo estudio a liderar el proceso inflacionario.</w:t>
      </w:r>
    </w:p>
    <w:p w:rsidR="00201C61" w:rsidRDefault="00F2763F" w:rsidP="005F7607">
      <w:pPr>
        <w:jc w:val="both"/>
        <w:rPr>
          <w:lang w:val="es-AR"/>
        </w:rPr>
      </w:pPr>
      <w:r>
        <w:rPr>
          <w:lang w:val="es-AR"/>
        </w:rPr>
        <w:t xml:space="preserve">A partir de allí se presenta una época de enormes altibajos, que desencadenan en una tendencia negativa que refleja que </w:t>
      </w:r>
      <w:r w:rsidRPr="00F2763F">
        <w:rPr>
          <w:b/>
          <w:lang w:val="es-AR"/>
        </w:rPr>
        <w:t>el sector bajo estudio ya no lidera el proceso inflacionario</w:t>
      </w:r>
      <w:r>
        <w:rPr>
          <w:lang w:val="es-AR"/>
        </w:rPr>
        <w:t>.</w:t>
      </w:r>
    </w:p>
    <w:p w:rsidR="00347039" w:rsidRDefault="00347039">
      <w:pPr>
        <w:rPr>
          <w:rFonts w:asciiTheme="majorHAnsi" w:eastAsiaTheme="majorEastAsia" w:hAnsiTheme="majorHAnsi" w:cstheme="majorBidi"/>
          <w:color w:val="2E74B5" w:themeColor="accent1" w:themeShade="BF"/>
          <w:sz w:val="32"/>
          <w:szCs w:val="32"/>
          <w:lang w:val="es-AR"/>
        </w:rPr>
      </w:pPr>
      <w:r>
        <w:rPr>
          <w:lang w:val="es-AR"/>
        </w:rPr>
        <w:br w:type="page"/>
      </w:r>
    </w:p>
    <w:p w:rsidR="00201C61" w:rsidRDefault="00201C61" w:rsidP="00201C61">
      <w:pPr>
        <w:pStyle w:val="Heading1"/>
        <w:rPr>
          <w:lang w:val="es-AR"/>
        </w:rPr>
      </w:pPr>
      <w:bookmarkStart w:id="3" w:name="_Toc24824769"/>
      <w:r>
        <w:rPr>
          <w:lang w:val="es-AR"/>
        </w:rPr>
        <w:lastRenderedPageBreak/>
        <w:t>Valor agregado a precios corrientes</w:t>
      </w:r>
      <w:bookmarkEnd w:id="3"/>
    </w:p>
    <w:p w:rsidR="00201C61" w:rsidRDefault="001E7D34" w:rsidP="00201C61">
      <w:pPr>
        <w:jc w:val="both"/>
        <w:rPr>
          <w:lang w:val="es-AR"/>
        </w:rPr>
      </w:pPr>
      <w:r>
        <w:rPr>
          <w:noProof/>
        </w:rPr>
        <w:drawing>
          <wp:inline distT="0" distB="0" distL="0" distR="0" wp14:anchorId="241E3429" wp14:editId="35C3BC72">
            <wp:extent cx="5943600" cy="35661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E7D34" w:rsidRDefault="003C6458" w:rsidP="00201C61">
      <w:pPr>
        <w:jc w:val="both"/>
        <w:rPr>
          <w:lang w:val="es-AR"/>
        </w:rPr>
      </w:pPr>
      <w:r>
        <w:rPr>
          <w:lang w:val="es-AR"/>
        </w:rPr>
        <w:t>A partir del gráfico que describe la trayectoria de la porción del valor agregado (y de los ingresos totales) que se apropió el sector bajo estudio a lo largo del período con datos disponibles se puede observar que la participación del sector bajo estudio ha tenido una tendencia definiti</w:t>
      </w:r>
      <w:r w:rsidR="00F2763F">
        <w:rPr>
          <w:lang w:val="es-AR"/>
        </w:rPr>
        <w:t>vamente creciente a lo largo de la mayor parte del</w:t>
      </w:r>
      <w:r>
        <w:rPr>
          <w:lang w:val="es-AR"/>
        </w:rPr>
        <w:t xml:space="preserve"> período estudiado. </w:t>
      </w:r>
    </w:p>
    <w:p w:rsidR="003C6458" w:rsidRDefault="003C6458" w:rsidP="00201C61">
      <w:pPr>
        <w:jc w:val="both"/>
        <w:rPr>
          <w:lang w:val="es-AR"/>
        </w:rPr>
      </w:pPr>
      <w:r>
        <w:rPr>
          <w:lang w:val="es-AR"/>
        </w:rPr>
        <w:t>Observando más detalladamente se puede ver que entre el 2004 y el 2008 la participación ha rondado el 2%, de forma aproximadamente constante. A partir del primer trimestre de 2008, la tendencia fue fuertemente creciente hasta el primer trimestre de 2012, donde si bien la tendencia parecería ser creciente, la misma se encuentra en realidad con altibajos entre el 4% y 5%.</w:t>
      </w:r>
    </w:p>
    <w:p w:rsidR="006B0068" w:rsidRDefault="006B0068">
      <w:pPr>
        <w:rPr>
          <w:lang w:val="es-AR"/>
        </w:rPr>
      </w:pPr>
      <w:r>
        <w:rPr>
          <w:lang w:val="es-AR"/>
        </w:rPr>
        <w:br w:type="page"/>
      </w:r>
    </w:p>
    <w:p w:rsidR="006B0068" w:rsidRDefault="006B0068" w:rsidP="006B0068">
      <w:pPr>
        <w:pStyle w:val="Heading1"/>
        <w:rPr>
          <w:lang w:val="es-AR"/>
        </w:rPr>
      </w:pPr>
      <w:bookmarkStart w:id="4" w:name="_Toc24824770"/>
      <w:r>
        <w:rPr>
          <w:lang w:val="es-AR"/>
        </w:rPr>
        <w:lastRenderedPageBreak/>
        <w:t>Perspectivas a futuro</w:t>
      </w:r>
      <w:bookmarkEnd w:id="4"/>
    </w:p>
    <w:p w:rsidR="00EA7482" w:rsidRPr="00F83AAE" w:rsidRDefault="00EA7482" w:rsidP="007C7C1A">
      <w:pPr>
        <w:jc w:val="both"/>
        <w:rPr>
          <w:lang w:val="es-AR"/>
        </w:rPr>
      </w:pPr>
      <w:r>
        <w:rPr>
          <w:lang w:val="es-AR"/>
        </w:rPr>
        <w:t xml:space="preserve">En la sección </w:t>
      </w:r>
      <w:r w:rsidRPr="00F83AAE">
        <w:rPr>
          <w:i/>
          <w:lang w:val="es-AR"/>
        </w:rPr>
        <w:t>Valor agregado a precios constantes</w:t>
      </w:r>
      <w:r w:rsidR="00F83AAE" w:rsidRPr="00F83AAE">
        <w:rPr>
          <w:lang w:val="es-AR"/>
        </w:rPr>
        <w:t xml:space="preserve"> se ha marcado el </w:t>
      </w:r>
      <w:r w:rsidR="00F83AAE">
        <w:rPr>
          <w:lang w:val="es-AR"/>
        </w:rPr>
        <w:t xml:space="preserve">mayor </w:t>
      </w:r>
      <w:r w:rsidR="00F83AAE" w:rsidRPr="00F83AAE">
        <w:rPr>
          <w:lang w:val="es-AR"/>
        </w:rPr>
        <w:t xml:space="preserve">crecimiento </w:t>
      </w:r>
      <w:r w:rsidR="00F83AAE">
        <w:rPr>
          <w:lang w:val="es-AR"/>
        </w:rPr>
        <w:t xml:space="preserve">del sector bajo estudio con respecto al resto de la economía. El diario Clarín confirma esto en la nota </w:t>
      </w:r>
      <w:r w:rsidR="00F83AAE">
        <w:rPr>
          <w:i/>
          <w:lang w:val="es-AR"/>
        </w:rPr>
        <w:t>“</w:t>
      </w:r>
      <w:r w:rsidR="00F83AAE" w:rsidRPr="00F83AAE">
        <w:rPr>
          <w:i/>
          <w:lang w:val="es-AR"/>
        </w:rPr>
        <w:t>Salud privada: obras sociales y medicina prepaga en Argentina</w:t>
      </w:r>
      <w:r w:rsidR="00F83AAE">
        <w:rPr>
          <w:i/>
          <w:lang w:val="es-AR"/>
        </w:rPr>
        <w:t>”</w:t>
      </w:r>
      <w:r w:rsidR="00F83AAE">
        <w:rPr>
          <w:lang w:val="es-AR"/>
        </w:rPr>
        <w:t xml:space="preserve"> que data del 11 de julio de 2010 diciendo que </w:t>
      </w:r>
      <w:r w:rsidR="00F83AAE">
        <w:rPr>
          <w:i/>
          <w:lang w:val="es-AR"/>
        </w:rPr>
        <w:t>“a</w:t>
      </w:r>
      <w:r w:rsidR="00F83AAE" w:rsidRPr="00F83AAE">
        <w:rPr>
          <w:i/>
          <w:lang w:val="es-AR"/>
        </w:rPr>
        <w:t xml:space="preserve"> contramano de la tendencia en los países más desarrollados, en la Argentina el sector privado de la salud crece sin prisa, pero sin pausa</w:t>
      </w:r>
      <w:r w:rsidR="00F83AAE">
        <w:rPr>
          <w:i/>
          <w:lang w:val="es-AR"/>
        </w:rPr>
        <w:t>”.</w:t>
      </w:r>
      <w:r w:rsidR="00F83AAE">
        <w:rPr>
          <w:lang w:val="es-AR"/>
        </w:rPr>
        <w:t xml:space="preserve"> </w:t>
      </w:r>
    </w:p>
    <w:p w:rsidR="007C7C1A" w:rsidRDefault="007C7C1A" w:rsidP="007C7C1A">
      <w:pPr>
        <w:jc w:val="both"/>
        <w:rPr>
          <w:lang w:val="es-AR"/>
        </w:rPr>
      </w:pPr>
      <w:r>
        <w:rPr>
          <w:lang w:val="es-AR"/>
        </w:rPr>
        <w:t xml:space="preserve">En la sección del cuadro de </w:t>
      </w:r>
      <w:r w:rsidRPr="007C7C1A">
        <w:rPr>
          <w:i/>
          <w:lang w:val="es-AR"/>
        </w:rPr>
        <w:t>Precios relativos de Salud Privada a Total Sectores</w:t>
      </w:r>
      <w:r>
        <w:rPr>
          <w:lang w:val="es-AR"/>
        </w:rPr>
        <w:t xml:space="preserve"> se analizó que el sector bajo estudio se le suele adelantar a la inflación. Si bien esto es intuitivamente algo muy positivo desde el punto de vista de las inversiones, corresponde indagar un poco más en esto para entender los detalles que hay por detrás de un sector tan complejo.</w:t>
      </w:r>
    </w:p>
    <w:p w:rsidR="00AA6965" w:rsidRDefault="007C7C1A" w:rsidP="007C7C1A">
      <w:pPr>
        <w:jc w:val="both"/>
        <w:rPr>
          <w:lang w:val="es-AR"/>
        </w:rPr>
      </w:pPr>
      <w:r>
        <w:rPr>
          <w:lang w:val="es-AR"/>
        </w:rPr>
        <w:t xml:space="preserve">El jueves 10 de octubre del año corriente, </w:t>
      </w:r>
      <w:r>
        <w:rPr>
          <w:i/>
          <w:lang w:val="es-AR"/>
        </w:rPr>
        <w:t xml:space="preserve">El </w:t>
      </w:r>
      <w:r w:rsidRPr="00AA6965">
        <w:rPr>
          <w:i/>
          <w:lang w:val="es-AR"/>
        </w:rPr>
        <w:t>Cronista</w:t>
      </w:r>
      <w:r>
        <w:rPr>
          <w:lang w:val="es-AR"/>
        </w:rPr>
        <w:t xml:space="preserve"> publicó una nota </w:t>
      </w:r>
      <w:r w:rsidR="00AA6965">
        <w:rPr>
          <w:lang w:val="es-AR"/>
        </w:rPr>
        <w:t xml:space="preserve">alertando de que el sistema de salud privada </w:t>
      </w:r>
      <w:r w:rsidR="0056634E">
        <w:rPr>
          <w:lang w:val="es-AR"/>
        </w:rPr>
        <w:t xml:space="preserve">en Argentina está </w:t>
      </w:r>
      <w:r w:rsidR="0056634E" w:rsidRPr="0056634E">
        <w:rPr>
          <w:i/>
          <w:lang w:val="es-AR"/>
        </w:rPr>
        <w:t>“al borde del colapso por la devaluación y los costos en dólares”</w:t>
      </w:r>
      <w:r w:rsidR="0056634E">
        <w:rPr>
          <w:lang w:val="es-AR"/>
        </w:rPr>
        <w:t>, cosa que confirma la hipótesis planteada previamente</w:t>
      </w:r>
      <w:r w:rsidR="006E7173">
        <w:rPr>
          <w:lang w:val="es-AR"/>
        </w:rPr>
        <w:t xml:space="preserve">. A esto hay que sumarle los problemas que padece cualquier ente que se encuentra bajo las reglas de la economía local: una altísima inflación y un alta en los costos laborales. Al tratarse de salud privada uno tendería a pensar que es de relativamente fácil solución, o por lo menos más fácil que si se tratase de un servicio público, pues en última instancia siempre se pueden trasladar los costos a los consumidores, y aunque probablemente muchos no puedan seguir aportando a un sistema de salud privada, esto podría parecer una solución, aunque sea temporal. Sin embargo, </w:t>
      </w:r>
      <w:r w:rsidR="006E7173" w:rsidRPr="006E7173">
        <w:rPr>
          <w:i/>
          <w:lang w:val="es-AR"/>
        </w:rPr>
        <w:t>El Cronista</w:t>
      </w:r>
      <w:r w:rsidR="006E7173">
        <w:rPr>
          <w:lang w:val="es-AR"/>
        </w:rPr>
        <w:t xml:space="preserve"> advierte que </w:t>
      </w:r>
      <w:r w:rsidR="006E7173">
        <w:rPr>
          <w:i/>
          <w:lang w:val="es-AR"/>
        </w:rPr>
        <w:t>“no es posible compensar estos desequilibrios porque el sector está altamente regulado por el Estado y limitado por el poder de mercado que tienen los financiadores”.</w:t>
      </w:r>
      <w:r w:rsidR="005926E9">
        <w:rPr>
          <w:lang w:val="es-AR"/>
        </w:rPr>
        <w:t xml:space="preserve"> Más adelante, Miguel Blanco agrega que </w:t>
      </w:r>
      <w:r w:rsidR="005926E9">
        <w:rPr>
          <w:i/>
          <w:lang w:val="es-AR"/>
        </w:rPr>
        <w:t xml:space="preserve">“los costos están fuera de control y la solución lineal de trasladarlos a la cuota es un camino agotado. </w:t>
      </w:r>
      <w:r w:rsidR="005926E9">
        <w:rPr>
          <w:b/>
          <w:i/>
          <w:lang w:val="es-AR"/>
        </w:rPr>
        <w:t>El usuario ya no puede absorber subas</w:t>
      </w:r>
      <w:r w:rsidR="005926E9" w:rsidRPr="005926E9">
        <w:rPr>
          <w:i/>
          <w:lang w:val="es-AR"/>
        </w:rPr>
        <w:t>”.</w:t>
      </w:r>
    </w:p>
    <w:p w:rsidR="00F83AAE" w:rsidRPr="00F83AAE" w:rsidRDefault="00F83AAE" w:rsidP="007C7C1A">
      <w:pPr>
        <w:jc w:val="both"/>
        <w:rPr>
          <w:lang w:val="es-AR"/>
        </w:rPr>
      </w:pPr>
      <w:r>
        <w:rPr>
          <w:lang w:val="es-AR"/>
        </w:rPr>
        <w:t xml:space="preserve">Por otro lado, en el artículo anteriormente citado de </w:t>
      </w:r>
      <w:r w:rsidRPr="00F83AAE">
        <w:rPr>
          <w:i/>
          <w:lang w:val="es-AR"/>
        </w:rPr>
        <w:t>Clarín</w:t>
      </w:r>
      <w:r w:rsidRPr="00F83AAE">
        <w:rPr>
          <w:lang w:val="es-AR"/>
        </w:rPr>
        <w:t xml:space="preserve"> </w:t>
      </w:r>
      <w:r>
        <w:rPr>
          <w:lang w:val="es-AR"/>
        </w:rPr>
        <w:t xml:space="preserve">advierte que </w:t>
      </w:r>
      <w:r>
        <w:rPr>
          <w:i/>
          <w:lang w:val="es-AR"/>
        </w:rPr>
        <w:t>“</w:t>
      </w:r>
      <w:r w:rsidRPr="00F83AAE">
        <w:rPr>
          <w:i/>
          <w:lang w:val="es-AR"/>
        </w:rPr>
        <w:t>Si se toma la prima media de mercado (el valor promedio de la cuota), el aumento no es paralelo al de la inflación ni al incremento de precios autorizado por el Gobierno para las prepagas.</w:t>
      </w:r>
      <w:r>
        <w:rPr>
          <w:i/>
          <w:lang w:val="es-AR"/>
        </w:rPr>
        <w:t>”</w:t>
      </w:r>
      <w:r>
        <w:rPr>
          <w:lang w:val="es-AR"/>
        </w:rPr>
        <w:t xml:space="preserve"> Esto último desmiente la hipótesis que enunciamos previamente respecto del rápido traslado de precios a los consumidores. </w:t>
      </w:r>
      <w:r w:rsidRPr="00F83AAE">
        <w:rPr>
          <w:lang w:val="es-AR"/>
        </w:rPr>
        <w:t xml:space="preserve">Por su parte Jorge </w:t>
      </w:r>
      <w:proofErr w:type="spellStart"/>
      <w:r w:rsidRPr="00F83AAE">
        <w:rPr>
          <w:lang w:val="es-AR"/>
        </w:rPr>
        <w:t>Cherro</w:t>
      </w:r>
      <w:proofErr w:type="spellEnd"/>
      <w:r w:rsidRPr="00F83AAE">
        <w:rPr>
          <w:lang w:val="es-AR"/>
        </w:rPr>
        <w:t xml:space="preserve">, presidente de ADECRA, reconoce que </w:t>
      </w:r>
      <w:r w:rsidRPr="00F83AAE">
        <w:rPr>
          <w:i/>
          <w:lang w:val="es-AR"/>
        </w:rPr>
        <w:t xml:space="preserve">“existe un retraso arancelario crónico superior al 30%, que proviene del fin de la convertibilidad de la que salimos mal parados cuando </w:t>
      </w:r>
      <w:r w:rsidRPr="00F83AAE">
        <w:rPr>
          <w:b/>
          <w:i/>
          <w:lang w:val="es-AR"/>
        </w:rPr>
        <w:t>se hizo duro reponer insumos en dólares</w:t>
      </w:r>
      <w:r w:rsidRPr="00F83AAE">
        <w:rPr>
          <w:i/>
          <w:lang w:val="es-AR"/>
        </w:rPr>
        <w:t>: aparatología, medicamentos</w:t>
      </w:r>
      <w:r w:rsidRPr="00F83AAE">
        <w:rPr>
          <w:lang w:val="es-AR"/>
        </w:rPr>
        <w:t xml:space="preserve">. </w:t>
      </w:r>
      <w:r w:rsidRPr="00F83AAE">
        <w:rPr>
          <w:i/>
          <w:lang w:val="es-AR"/>
        </w:rPr>
        <w:t xml:space="preserve">A lo que se agrega el problema de conseguir recursos financieros para pagar los </w:t>
      </w:r>
      <w:r w:rsidRPr="00F83AAE">
        <w:rPr>
          <w:b/>
          <w:i/>
          <w:lang w:val="es-AR"/>
        </w:rPr>
        <w:t>aumentos salariales del personal que representa un 60% de los costos</w:t>
      </w:r>
      <w:r>
        <w:rPr>
          <w:lang w:val="es-AR"/>
        </w:rPr>
        <w:t>”</w:t>
      </w:r>
      <w:r w:rsidRPr="00F83AAE">
        <w:rPr>
          <w:lang w:val="es-AR"/>
        </w:rPr>
        <w:t>.</w:t>
      </w:r>
    </w:p>
    <w:p w:rsidR="00FD46A2" w:rsidRDefault="00FD46A2" w:rsidP="007C7C1A">
      <w:pPr>
        <w:jc w:val="both"/>
        <w:rPr>
          <w:lang w:val="es-AR"/>
        </w:rPr>
      </w:pPr>
      <w:r>
        <w:rPr>
          <w:lang w:val="es-AR"/>
        </w:rPr>
        <w:t xml:space="preserve">Habiendo dicho esto, es importante notar el papel </w:t>
      </w:r>
      <w:r w:rsidR="005926E9">
        <w:rPr>
          <w:lang w:val="es-AR"/>
        </w:rPr>
        <w:t xml:space="preserve">fundamental </w:t>
      </w:r>
      <w:r>
        <w:rPr>
          <w:lang w:val="es-AR"/>
        </w:rPr>
        <w:t xml:space="preserve">que juega la salud privada en el país. En palabras de Guillermo Lorenzo, vicepresidente de </w:t>
      </w:r>
      <w:proofErr w:type="spellStart"/>
      <w:r>
        <w:rPr>
          <w:lang w:val="es-AR"/>
        </w:rPr>
        <w:t>Adecra</w:t>
      </w:r>
      <w:proofErr w:type="spellEnd"/>
      <w:r>
        <w:rPr>
          <w:lang w:val="es-AR"/>
        </w:rPr>
        <w:t xml:space="preserve"> y miembro de la Unión Argentina de Salud, confederación que nuclea a todo el sistema de salud privada, advierte: “Si nuestro sector deja de ser sustentable y quiebra, toda la población deberá ser atendida por el Estado. Somos un sector muy fragmentado, que brindamos atención a más del 70% de la población, incluso los que están cubiertos por el Estado”. Esto plantea nuevos interrogantes. Con lo planteado hasta ahora, es más que evidente que el sector bajo estudio está atravesando pruebas de subsistencia muy duras. Sin embargo, </w:t>
      </w:r>
      <w:r w:rsidR="005926E9">
        <w:rPr>
          <w:lang w:val="es-AR"/>
        </w:rPr>
        <w:t xml:space="preserve">lo más importante que cabe preguntarse es: </w:t>
      </w:r>
      <w:r w:rsidR="005926E9">
        <w:rPr>
          <w:b/>
          <w:lang w:val="es-AR"/>
        </w:rPr>
        <w:t>¿cuál es el verdadero panorama a largo plazo del sector?</w:t>
      </w:r>
    </w:p>
    <w:p w:rsidR="007A334D" w:rsidRDefault="007A334D" w:rsidP="007C7C1A">
      <w:pPr>
        <w:jc w:val="both"/>
        <w:rPr>
          <w:lang w:val="es-AR"/>
        </w:rPr>
      </w:pPr>
      <w:r>
        <w:rPr>
          <w:lang w:val="es-AR"/>
        </w:rPr>
        <w:t xml:space="preserve">La perspectiva altamente negativa que se vio planteada la nota precedente es </w:t>
      </w:r>
      <w:r w:rsidR="00AB132A">
        <w:rPr>
          <w:lang w:val="es-AR"/>
        </w:rPr>
        <w:t>rotundamente</w:t>
      </w:r>
      <w:r>
        <w:rPr>
          <w:lang w:val="es-AR"/>
        </w:rPr>
        <w:t xml:space="preserve"> contrarrestada por otra nota de </w:t>
      </w:r>
      <w:r>
        <w:rPr>
          <w:i/>
          <w:lang w:val="es-AR"/>
        </w:rPr>
        <w:t>El Cronista PYME</w:t>
      </w:r>
      <w:r>
        <w:rPr>
          <w:lang w:val="es-AR"/>
        </w:rPr>
        <w:t xml:space="preserve"> que plantea que </w:t>
      </w:r>
      <w:r>
        <w:rPr>
          <w:i/>
          <w:lang w:val="es-AR"/>
        </w:rPr>
        <w:t>l</w:t>
      </w:r>
      <w:r w:rsidRPr="007A334D">
        <w:rPr>
          <w:i/>
          <w:lang w:val="es-AR"/>
        </w:rPr>
        <w:t xml:space="preserve">os ingresos hospitalarios y </w:t>
      </w:r>
      <w:r w:rsidRPr="007A334D">
        <w:rPr>
          <w:i/>
          <w:lang w:val="es-AR"/>
        </w:rPr>
        <w:lastRenderedPageBreak/>
        <w:t>farmacéuticos pueden sufrir un poco durante tiempos económicos difíciles, pero la demanda general de los consumidores por servicios de salud difícilmente caiga como sí sucede en otras industrias.</w:t>
      </w:r>
    </w:p>
    <w:p w:rsidR="00282C8C" w:rsidRDefault="00282C8C" w:rsidP="007C7C1A">
      <w:pPr>
        <w:jc w:val="both"/>
        <w:rPr>
          <w:lang w:val="es-AR"/>
        </w:rPr>
      </w:pPr>
      <w:r>
        <w:rPr>
          <w:lang w:val="es-AR"/>
        </w:rPr>
        <w:t xml:space="preserve">Además, como era de esperar de la sección PYME de un diario, se hace hincapié en el mundo de las </w:t>
      </w:r>
      <w:proofErr w:type="spellStart"/>
      <w:r>
        <w:rPr>
          <w:lang w:val="es-AR"/>
        </w:rPr>
        <w:t>startups</w:t>
      </w:r>
      <w:proofErr w:type="spellEnd"/>
      <w:r>
        <w:rPr>
          <w:lang w:val="es-AR"/>
        </w:rPr>
        <w:t xml:space="preserve"> relacionadas a la salud. </w:t>
      </w:r>
      <w:r w:rsidRPr="00282C8C">
        <w:rPr>
          <w:lang w:val="es-AR"/>
        </w:rPr>
        <w:t xml:space="preserve">Se </w:t>
      </w:r>
      <w:r w:rsidR="00AB132A">
        <w:rPr>
          <w:lang w:val="es-AR"/>
        </w:rPr>
        <w:t xml:space="preserve">hace hincapié en la cantidad de </w:t>
      </w:r>
      <w:proofErr w:type="spellStart"/>
      <w:r w:rsidRPr="00282C8C">
        <w:rPr>
          <w:lang w:val="es-AR"/>
        </w:rPr>
        <w:t>startups</w:t>
      </w:r>
      <w:proofErr w:type="spellEnd"/>
      <w:r w:rsidRPr="00282C8C">
        <w:rPr>
          <w:lang w:val="es-AR"/>
        </w:rPr>
        <w:t xml:space="preserve"> vinculadas con la salud digital, las cuales operan, principalmente, en las siguientes áreas: </w:t>
      </w:r>
      <w:proofErr w:type="spellStart"/>
      <w:r w:rsidRPr="00282C8C">
        <w:rPr>
          <w:lang w:val="es-AR"/>
        </w:rPr>
        <w:t>big</w:t>
      </w:r>
      <w:proofErr w:type="spellEnd"/>
      <w:r w:rsidRPr="00282C8C">
        <w:rPr>
          <w:lang w:val="es-AR"/>
        </w:rPr>
        <w:t xml:space="preserve"> data y analítica; plataformas de información para profesionales y pacientes; wearables y sensores personales; la gestión de la experiencia y la relación con los pacientes, como sistemas de reservas de turnos online; registros médicos electrónicos, como los sistemas de historia clínica digital; aplicaciones y software que asisten en la recolección de datos sobre la salud de los pacientes; y dispositivos médicos específicos para tratar condiciones específicas.</w:t>
      </w:r>
    </w:p>
    <w:p w:rsidR="00282C8C" w:rsidRDefault="00282C8C" w:rsidP="007C7C1A">
      <w:pPr>
        <w:jc w:val="both"/>
        <w:rPr>
          <w:lang w:val="es-AR"/>
        </w:rPr>
      </w:pPr>
      <w:r>
        <w:rPr>
          <w:lang w:val="es-AR"/>
        </w:rPr>
        <w:t xml:space="preserve">Finalmente, Axel Barceló viene a unir ambas posturas, la optimista y la pesimista, en una oración que deja el panorama muy claro: </w:t>
      </w:r>
      <w:r>
        <w:rPr>
          <w:i/>
          <w:lang w:val="es-AR"/>
        </w:rPr>
        <w:t>“</w:t>
      </w:r>
      <w:r w:rsidRPr="00AB132A">
        <w:rPr>
          <w:b/>
          <w:i/>
          <w:lang w:val="es-AR"/>
        </w:rPr>
        <w:t>la rentabilidad de emprender en salud está en el largo plazo mientras que, en el corto y mediano, la prioridad es lograr la sustentabilidad de los proyectos.</w:t>
      </w:r>
      <w:r w:rsidRPr="00282C8C">
        <w:rPr>
          <w:i/>
          <w:lang w:val="es-AR"/>
        </w:rPr>
        <w:t xml:space="preserve"> Los esfuerzos para colocar un emprendimiento en el mercado suelen ser mayores que en otras industrias, hay que lidiar con muchas variables y esto suele generar poco margen para producir rentabilidad</w:t>
      </w:r>
      <w:r>
        <w:rPr>
          <w:i/>
          <w:lang w:val="es-AR"/>
        </w:rPr>
        <w:t xml:space="preserve">”. </w:t>
      </w:r>
      <w:r w:rsidR="00D655DD">
        <w:rPr>
          <w:lang w:val="es-AR"/>
        </w:rPr>
        <w:t xml:space="preserve">No es el único que destaca la rentabilidad a largo plazo: la CTO de </w:t>
      </w:r>
      <w:r w:rsidR="00D655DD">
        <w:rPr>
          <w:i/>
          <w:lang w:val="es-AR"/>
        </w:rPr>
        <w:t xml:space="preserve">Incubando Salud, </w:t>
      </w:r>
      <w:r w:rsidR="00D655DD">
        <w:rPr>
          <w:lang w:val="es-AR"/>
        </w:rPr>
        <w:t xml:space="preserve">Carolina </w:t>
      </w:r>
      <w:proofErr w:type="spellStart"/>
      <w:r w:rsidR="00D655DD">
        <w:rPr>
          <w:lang w:val="es-AR"/>
        </w:rPr>
        <w:t>Perdoménico</w:t>
      </w:r>
      <w:proofErr w:type="spellEnd"/>
      <w:r w:rsidR="00D655DD">
        <w:rPr>
          <w:lang w:val="es-AR"/>
        </w:rPr>
        <w:t xml:space="preserve">, </w:t>
      </w:r>
      <w:r w:rsidR="00D655DD" w:rsidRPr="00D655DD">
        <w:rPr>
          <w:lang w:val="es-AR"/>
        </w:rPr>
        <w:t xml:space="preserve">coincide en que es rentable, pero a largo plazo. </w:t>
      </w:r>
      <w:r w:rsidR="00D655DD" w:rsidRPr="00AB132A">
        <w:rPr>
          <w:i/>
          <w:lang w:val="es-AR"/>
        </w:rPr>
        <w:t>“Quien emprende en salud atraviesa riesgos tecnológicos, largos tiempos para validar sus propuestas y el difícil acceso a capital privado. Hay retos comerciales, regulatorios, en propiedad intelectual, que se deben trabajar”</w:t>
      </w:r>
      <w:r w:rsidR="00D655DD">
        <w:rPr>
          <w:lang w:val="es-AR"/>
        </w:rPr>
        <w:t>.</w:t>
      </w:r>
    </w:p>
    <w:p w:rsidR="00334C89" w:rsidRDefault="00334C89">
      <w:pPr>
        <w:rPr>
          <w:lang w:val="es-AR"/>
        </w:rPr>
      </w:pPr>
      <w:r>
        <w:rPr>
          <w:lang w:val="es-AR"/>
        </w:rPr>
        <w:br w:type="page"/>
      </w:r>
    </w:p>
    <w:p w:rsidR="00F2763F" w:rsidRDefault="00F2763F" w:rsidP="00F2763F">
      <w:pPr>
        <w:pStyle w:val="Heading1"/>
        <w:rPr>
          <w:lang w:val="es-AR"/>
        </w:rPr>
      </w:pPr>
      <w:bookmarkStart w:id="5" w:name="_Toc24824771"/>
      <w:r>
        <w:rPr>
          <w:lang w:val="es-AR"/>
        </w:rPr>
        <w:lastRenderedPageBreak/>
        <w:t>Anexo</w:t>
      </w:r>
      <w:bookmarkEnd w:id="5"/>
    </w:p>
    <w:p w:rsidR="00F2763F" w:rsidRDefault="00F2763F" w:rsidP="00F2763F">
      <w:pPr>
        <w:pStyle w:val="Heading2"/>
        <w:rPr>
          <w:lang w:val="es-AR"/>
        </w:rPr>
      </w:pPr>
      <w:bookmarkStart w:id="6" w:name="_Toc24824772"/>
      <w:r>
        <w:rPr>
          <w:lang w:val="es-AR"/>
        </w:rPr>
        <w:t>Tabla: VA Salud Privada y Total Sector</w:t>
      </w:r>
      <w:bookmarkEnd w:id="6"/>
    </w:p>
    <w:tbl>
      <w:tblPr>
        <w:tblW w:w="0" w:type="auto"/>
        <w:tblBorders>
          <w:top w:val="single" w:sz="4" w:space="0" w:color="auto"/>
          <w:insideH w:val="single" w:sz="4" w:space="0" w:color="auto"/>
        </w:tblBorders>
        <w:tblLook w:val="04A0" w:firstRow="1" w:lastRow="0" w:firstColumn="1" w:lastColumn="0" w:noHBand="0" w:noVBand="1"/>
      </w:tblPr>
      <w:tblGrid>
        <w:gridCol w:w="1808"/>
        <w:gridCol w:w="944"/>
        <w:gridCol w:w="944"/>
        <w:gridCol w:w="944"/>
        <w:gridCol w:w="944"/>
        <w:gridCol w:w="944"/>
        <w:gridCol w:w="944"/>
        <w:gridCol w:w="944"/>
        <w:gridCol w:w="944"/>
      </w:tblGrid>
      <w:tr w:rsidR="00334779" w:rsidRPr="00334779" w:rsidTr="00DC4E89">
        <w:trPr>
          <w:trHeight w:val="300"/>
        </w:trPr>
        <w:tc>
          <w:tcPr>
            <w:tcW w:w="0" w:type="auto"/>
            <w:shd w:val="clear" w:color="000000" w:fill="FFFFFF"/>
            <w:vAlign w:val="center"/>
            <w:hideMark/>
          </w:tcPr>
          <w:p w:rsidR="00334779" w:rsidRPr="00334779" w:rsidRDefault="00334779" w:rsidP="00DC4E89">
            <w:pPr>
              <w:spacing w:after="0" w:line="240" w:lineRule="auto"/>
              <w:jc w:val="center"/>
              <w:rPr>
                <w:rFonts w:ascii="Arial" w:eastAsia="Times New Roman" w:hAnsi="Arial" w:cs="Arial"/>
                <w:sz w:val="16"/>
                <w:szCs w:val="16"/>
              </w:rPr>
            </w:pPr>
          </w:p>
        </w:tc>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2004</w:t>
            </w:r>
          </w:p>
        </w:tc>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2005</w:t>
            </w:r>
          </w:p>
        </w:tc>
      </w:tr>
      <w:tr w:rsidR="00334779" w:rsidRPr="00334779" w:rsidTr="00DC4E89">
        <w:trPr>
          <w:trHeight w:val="300"/>
        </w:trPr>
        <w:tc>
          <w:tcPr>
            <w:tcW w:w="0" w:type="auto"/>
            <w:shd w:val="clear" w:color="000000" w:fill="FFFFFF"/>
            <w:vAlign w:val="center"/>
            <w:hideMark/>
          </w:tcPr>
          <w:p w:rsidR="00334779" w:rsidRPr="00334779" w:rsidRDefault="00334779" w:rsidP="00DC4E89">
            <w:pPr>
              <w:spacing w:after="0" w:line="240" w:lineRule="auto"/>
              <w:jc w:val="center"/>
              <w:rPr>
                <w:rFonts w:ascii="Arial" w:eastAsia="Times New Roman" w:hAnsi="Arial" w:cs="Arial"/>
                <w:sz w:val="16"/>
                <w:szCs w:val="16"/>
              </w:rPr>
            </w:pP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proofErr w:type="spellStart"/>
            <w:r w:rsidRPr="00334779">
              <w:rPr>
                <w:rFonts w:ascii="Arial" w:eastAsia="Times New Roman" w:hAnsi="Arial" w:cs="Arial"/>
                <w:sz w:val="16"/>
                <w:szCs w:val="16"/>
              </w:rPr>
              <w:t>Salud</w:t>
            </w:r>
            <w:proofErr w:type="spellEnd"/>
            <w:r w:rsidRPr="00334779">
              <w:rPr>
                <w:rFonts w:ascii="Arial" w:eastAsia="Times New Roman" w:hAnsi="Arial" w:cs="Arial"/>
                <w:sz w:val="16"/>
                <w:szCs w:val="16"/>
              </w:rPr>
              <w:t xml:space="preserve"> </w:t>
            </w:r>
            <w:proofErr w:type="spellStart"/>
            <w:r w:rsidRPr="00334779">
              <w:rPr>
                <w:rFonts w:ascii="Arial" w:eastAsia="Times New Roman" w:hAnsi="Arial" w:cs="Arial"/>
                <w:sz w:val="16"/>
                <w:szCs w:val="16"/>
              </w:rPr>
              <w:t>Privada</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8,258</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9,357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9,383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8,694</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9,356</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10,399</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10,435</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9,582</w:t>
            </w:r>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color w:val="000000"/>
                <w:sz w:val="18"/>
                <w:szCs w:val="18"/>
              </w:rPr>
            </w:pPr>
            <w:r w:rsidRPr="00334779">
              <w:rPr>
                <w:rFonts w:ascii="Arial" w:eastAsia="Times New Roman" w:hAnsi="Arial" w:cs="Arial"/>
                <w:b/>
                <w:bCs/>
                <w:color w:val="000000"/>
                <w:sz w:val="18"/>
                <w:szCs w:val="18"/>
              </w:rPr>
              <w:t xml:space="preserve">Total de la </w:t>
            </w:r>
            <w:proofErr w:type="spellStart"/>
            <w:r w:rsidRPr="00334779">
              <w:rPr>
                <w:rFonts w:ascii="Arial" w:eastAsia="Times New Roman" w:hAnsi="Arial" w:cs="Arial"/>
                <w:b/>
                <w:bCs/>
                <w:color w:val="000000"/>
                <w:sz w:val="18"/>
                <w:szCs w:val="18"/>
              </w:rPr>
              <w:t>economía</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390,787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439,743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406,579</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412,601</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419,641</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498,534</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437,277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445,761</w:t>
            </w:r>
          </w:p>
        </w:tc>
      </w:tr>
    </w:tbl>
    <w:p w:rsidR="00334779" w:rsidRDefault="00334779" w:rsidP="00334779">
      <w:pPr>
        <w:pStyle w:val="bodyText"/>
        <w:spacing w:after="0" w:line="240" w:lineRule="auto"/>
      </w:pPr>
    </w:p>
    <w:tbl>
      <w:tblPr>
        <w:tblW w:w="0" w:type="auto"/>
        <w:tblBorders>
          <w:insideH w:val="single" w:sz="4" w:space="0" w:color="auto"/>
        </w:tblBorders>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334779" w:rsidRPr="00334779" w:rsidTr="00DC4E89">
        <w:trPr>
          <w:trHeight w:val="300"/>
        </w:trPr>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2006</w:t>
            </w:r>
          </w:p>
        </w:tc>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2007</w:t>
            </w:r>
          </w:p>
        </w:tc>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2008</w:t>
            </w:r>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9,549</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10,701</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10,641</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9,801</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10,260</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11,499</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11,167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10,345</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10,922</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12,364</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12,017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11,082</w:t>
            </w:r>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451,524</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525,867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477,872</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482,693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485,615</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575,227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510,805</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521,609</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513,983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603,851</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539,985</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513,459</w:t>
            </w:r>
          </w:p>
        </w:tc>
      </w:tr>
    </w:tbl>
    <w:p w:rsidR="00334779" w:rsidRDefault="00334779" w:rsidP="00334779">
      <w:pPr>
        <w:pStyle w:val="bodyText"/>
        <w:spacing w:after="0" w:line="240" w:lineRule="auto"/>
      </w:pPr>
    </w:p>
    <w:tbl>
      <w:tblPr>
        <w:tblW w:w="0" w:type="auto"/>
        <w:tblBorders>
          <w:insideH w:val="single" w:sz="4" w:space="0" w:color="auto"/>
        </w:tblBorders>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334779" w:rsidRPr="00334779" w:rsidTr="00DC4E89">
        <w:trPr>
          <w:trHeight w:val="300"/>
        </w:trPr>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2009</w:t>
            </w:r>
          </w:p>
        </w:tc>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2010</w:t>
            </w:r>
          </w:p>
        </w:tc>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2011</w:t>
            </w:r>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11,786</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13,552</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13,136</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11,973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12,376</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14,294</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13,788</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12,589</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13,359</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15,414</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14,163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12,928</w:t>
            </w:r>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483,000</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532,732</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512,817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518,187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513,703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621,308</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557,180</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559,799</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552,173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646,899</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590,445</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584,565</w:t>
            </w:r>
          </w:p>
        </w:tc>
      </w:tr>
    </w:tbl>
    <w:p w:rsidR="00334779" w:rsidRDefault="00334779" w:rsidP="00334779">
      <w:pPr>
        <w:pStyle w:val="bodyText"/>
        <w:spacing w:after="0" w:line="240" w:lineRule="auto"/>
      </w:pPr>
    </w:p>
    <w:tbl>
      <w:tblPr>
        <w:tblW w:w="0" w:type="auto"/>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334779" w:rsidRPr="00334779" w:rsidTr="00DC4E89">
        <w:trPr>
          <w:trHeight w:val="300"/>
        </w:trPr>
        <w:tc>
          <w:tcPr>
            <w:tcW w:w="0" w:type="auto"/>
            <w:gridSpan w:val="4"/>
            <w:tcBorders>
              <w:top w:val="nil"/>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2012</w:t>
            </w:r>
          </w:p>
        </w:tc>
        <w:tc>
          <w:tcPr>
            <w:tcW w:w="0" w:type="auto"/>
            <w:gridSpan w:val="4"/>
            <w:tcBorders>
              <w:top w:val="nil"/>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2013</w:t>
            </w:r>
          </w:p>
        </w:tc>
        <w:tc>
          <w:tcPr>
            <w:tcW w:w="0" w:type="auto"/>
            <w:gridSpan w:val="4"/>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2014</w:t>
            </w:r>
          </w:p>
        </w:tc>
      </w:tr>
      <w:tr w:rsidR="00334779" w:rsidRPr="00334779" w:rsidTr="00DC4E89">
        <w:trPr>
          <w:trHeight w:val="300"/>
        </w:trPr>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r>
      <w:tr w:rsidR="00334779" w:rsidRPr="00334779" w:rsidTr="00DC4E89">
        <w:trPr>
          <w:trHeight w:val="300"/>
        </w:trPr>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14,357</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16,149</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14,710</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13,647</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14,730</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16,551</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15,090</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13,844</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14,869</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16,712</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15,247</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14,096</w:t>
            </w:r>
          </w:p>
        </w:tc>
      </w:tr>
      <w:tr w:rsidR="00334779" w:rsidRPr="00334779" w:rsidTr="00DC4E89">
        <w:trPr>
          <w:trHeight w:val="300"/>
        </w:trPr>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558,391</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614,896</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582,963</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584,095</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558,890</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650,956</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595,017</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587,118</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554,540</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642,098</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576,457</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575,375</w:t>
            </w:r>
          </w:p>
        </w:tc>
      </w:tr>
    </w:tbl>
    <w:p w:rsidR="00334779" w:rsidRDefault="00334779" w:rsidP="00334779">
      <w:pPr>
        <w:pStyle w:val="bodyText"/>
        <w:spacing w:after="0" w:line="240" w:lineRule="auto"/>
      </w:pPr>
    </w:p>
    <w:tbl>
      <w:tblPr>
        <w:tblW w:w="0" w:type="auto"/>
        <w:tblBorders>
          <w:insideH w:val="single" w:sz="4" w:space="0" w:color="auto"/>
        </w:tblBorders>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334779" w:rsidRPr="00334779" w:rsidTr="00DC4E89">
        <w:trPr>
          <w:trHeight w:val="300"/>
        </w:trPr>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2015</w:t>
            </w:r>
          </w:p>
        </w:tc>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2016</w:t>
            </w:r>
          </w:p>
        </w:tc>
        <w:tc>
          <w:tcPr>
            <w:tcW w:w="0" w:type="auto"/>
            <w:gridSpan w:val="4"/>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2017 (</w:t>
            </w:r>
            <w:r w:rsidRPr="00334779">
              <w:rPr>
                <w:rFonts w:ascii="Arial" w:eastAsia="Times New Roman" w:hAnsi="Arial" w:cs="Arial"/>
                <w:sz w:val="16"/>
                <w:szCs w:val="16"/>
                <w:vertAlign w:val="superscript"/>
              </w:rPr>
              <w:t>1</w:t>
            </w:r>
            <w:r w:rsidRPr="00334779">
              <w:rPr>
                <w:rFonts w:ascii="Arial" w:eastAsia="Times New Roman" w:hAnsi="Arial" w:cs="Arial"/>
                <w:sz w:val="16"/>
                <w:szCs w:val="16"/>
              </w:rPr>
              <w:t>)</w:t>
            </w:r>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15,200</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17,111</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15,639</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14,434</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15,684</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17,655</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16,117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14,874</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16,156</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18,065</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16,506</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15,245</w:t>
            </w:r>
          </w:p>
        </w:tc>
      </w:tr>
      <w:tr w:rsidR="00334779" w:rsidRPr="00334779" w:rsidTr="00DC4E89">
        <w:trPr>
          <w:trHeight w:val="300"/>
        </w:trPr>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558,293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669,072</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597,180</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587,215</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558,905</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642,653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578,253</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578,680</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560,691</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655,687</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597,812</w:t>
            </w:r>
          </w:p>
        </w:tc>
        <w:tc>
          <w:tcPr>
            <w:tcW w:w="0" w:type="auto"/>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601,200</w:t>
            </w:r>
          </w:p>
        </w:tc>
      </w:tr>
    </w:tbl>
    <w:p w:rsidR="00334779" w:rsidRDefault="00334779" w:rsidP="00334779">
      <w:pPr>
        <w:pStyle w:val="bodyText"/>
        <w:spacing w:after="0" w:line="240" w:lineRule="auto"/>
      </w:pPr>
    </w:p>
    <w:tbl>
      <w:tblPr>
        <w:tblW w:w="0" w:type="auto"/>
        <w:tblLook w:val="04A0" w:firstRow="1" w:lastRow="0" w:firstColumn="1" w:lastColumn="0" w:noHBand="0" w:noVBand="1"/>
      </w:tblPr>
      <w:tblGrid>
        <w:gridCol w:w="1031"/>
        <w:gridCol w:w="1031"/>
        <w:gridCol w:w="1031"/>
        <w:gridCol w:w="1031"/>
        <w:gridCol w:w="1031"/>
        <w:gridCol w:w="1031"/>
      </w:tblGrid>
      <w:tr w:rsidR="00334779" w:rsidRPr="00334779" w:rsidTr="00DC4E89">
        <w:trPr>
          <w:trHeight w:val="300"/>
        </w:trPr>
        <w:tc>
          <w:tcPr>
            <w:tcW w:w="0" w:type="auto"/>
            <w:gridSpan w:val="4"/>
            <w:tcBorders>
              <w:top w:val="nil"/>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2018 (</w:t>
            </w:r>
            <w:r w:rsidRPr="00334779">
              <w:rPr>
                <w:rFonts w:ascii="Arial" w:eastAsia="Times New Roman" w:hAnsi="Arial" w:cs="Arial"/>
                <w:sz w:val="16"/>
                <w:szCs w:val="16"/>
                <w:vertAlign w:val="superscript"/>
              </w:rPr>
              <w:t>2</w:t>
            </w:r>
            <w:r w:rsidRPr="00334779">
              <w:rPr>
                <w:rFonts w:ascii="Arial" w:eastAsia="Times New Roman" w:hAnsi="Arial" w:cs="Arial"/>
                <w:sz w:val="16"/>
                <w:szCs w:val="16"/>
              </w:rPr>
              <w:t>)</w:t>
            </w:r>
          </w:p>
        </w:tc>
        <w:tc>
          <w:tcPr>
            <w:tcW w:w="0" w:type="auto"/>
            <w:gridSpan w:val="2"/>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2019 (</w:t>
            </w:r>
            <w:r w:rsidRPr="00334779">
              <w:rPr>
                <w:rFonts w:ascii="Arial" w:eastAsia="Times New Roman" w:hAnsi="Arial" w:cs="Arial"/>
                <w:sz w:val="16"/>
                <w:szCs w:val="16"/>
                <w:vertAlign w:val="superscript"/>
              </w:rPr>
              <w:t>2</w:t>
            </w:r>
            <w:r w:rsidRPr="00334779">
              <w:rPr>
                <w:rFonts w:ascii="Arial" w:eastAsia="Times New Roman" w:hAnsi="Arial" w:cs="Arial"/>
                <w:sz w:val="16"/>
                <w:szCs w:val="16"/>
              </w:rPr>
              <w:t>)</w:t>
            </w:r>
          </w:p>
        </w:tc>
      </w:tr>
      <w:tr w:rsidR="00334779" w:rsidRPr="00334779" w:rsidTr="00DC4E89">
        <w:trPr>
          <w:trHeight w:val="300"/>
        </w:trPr>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3º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4º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1º </w:t>
            </w:r>
            <w:proofErr w:type="spellStart"/>
            <w:r w:rsidRPr="00334779">
              <w:rPr>
                <w:rFonts w:ascii="Arial" w:eastAsia="Times New Roman" w:hAnsi="Arial" w:cs="Arial"/>
                <w:sz w:val="16"/>
                <w:szCs w:val="16"/>
              </w:rPr>
              <w:t>trimestre</w:t>
            </w:r>
            <w:proofErr w:type="spellEnd"/>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 xml:space="preserve">2º </w:t>
            </w:r>
            <w:proofErr w:type="spellStart"/>
            <w:r w:rsidRPr="00334779">
              <w:rPr>
                <w:rFonts w:ascii="Arial" w:eastAsia="Times New Roman" w:hAnsi="Arial" w:cs="Arial"/>
                <w:sz w:val="16"/>
                <w:szCs w:val="16"/>
              </w:rPr>
              <w:t>trimestre</w:t>
            </w:r>
            <w:proofErr w:type="spellEnd"/>
          </w:p>
        </w:tc>
      </w:tr>
      <w:tr w:rsidR="00334779" w:rsidRPr="00334779" w:rsidTr="00DC4E89">
        <w:trPr>
          <w:trHeight w:val="300"/>
        </w:trPr>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16,476</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18,446</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16,692</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15,330</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16,451</w:t>
            </w:r>
          </w:p>
        </w:tc>
        <w:tc>
          <w:tcPr>
            <w:tcW w:w="0" w:type="auto"/>
            <w:tcBorders>
              <w:top w:val="single" w:sz="4" w:space="0" w:color="auto"/>
              <w:left w:val="nil"/>
              <w:bottom w:val="single" w:sz="4" w:space="0" w:color="auto"/>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sz w:val="16"/>
                <w:szCs w:val="16"/>
              </w:rPr>
            </w:pPr>
            <w:r w:rsidRPr="00334779">
              <w:rPr>
                <w:rFonts w:ascii="Arial" w:eastAsia="Times New Roman" w:hAnsi="Arial" w:cs="Arial"/>
                <w:sz w:val="16"/>
                <w:szCs w:val="16"/>
              </w:rPr>
              <w:t>18,408</w:t>
            </w:r>
          </w:p>
        </w:tc>
      </w:tr>
      <w:tr w:rsidR="00334779" w:rsidRPr="00334779" w:rsidTr="00DC4E89">
        <w:trPr>
          <w:trHeight w:val="300"/>
        </w:trPr>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581,338</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627,115</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578,349</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566,845</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551,228</w:t>
            </w:r>
          </w:p>
        </w:tc>
        <w:tc>
          <w:tcPr>
            <w:tcW w:w="0" w:type="auto"/>
            <w:tcBorders>
              <w:top w:val="single" w:sz="4" w:space="0" w:color="auto"/>
              <w:left w:val="nil"/>
              <w:bottom w:val="nil"/>
              <w:right w:val="nil"/>
            </w:tcBorders>
            <w:shd w:val="clear" w:color="000000" w:fill="FFFFFF"/>
            <w:noWrap/>
            <w:vAlign w:val="center"/>
            <w:hideMark/>
          </w:tcPr>
          <w:p w:rsidR="00334779" w:rsidRPr="00334779" w:rsidRDefault="00334779" w:rsidP="00DC4E89">
            <w:pPr>
              <w:spacing w:after="0" w:line="240" w:lineRule="auto"/>
              <w:jc w:val="center"/>
              <w:rPr>
                <w:rFonts w:ascii="Arial" w:eastAsia="Times New Roman" w:hAnsi="Arial" w:cs="Arial"/>
                <w:b/>
                <w:bCs/>
                <w:sz w:val="16"/>
                <w:szCs w:val="16"/>
              </w:rPr>
            </w:pPr>
            <w:r w:rsidRPr="00334779">
              <w:rPr>
                <w:rFonts w:ascii="Arial" w:eastAsia="Times New Roman" w:hAnsi="Arial" w:cs="Arial"/>
                <w:b/>
                <w:bCs/>
                <w:sz w:val="16"/>
                <w:szCs w:val="16"/>
              </w:rPr>
              <w:t>636,134</w:t>
            </w:r>
          </w:p>
        </w:tc>
      </w:tr>
    </w:tbl>
    <w:p w:rsidR="00334779" w:rsidRDefault="00334779" w:rsidP="00334779">
      <w:pPr>
        <w:pStyle w:val="bodyText"/>
        <w:spacing w:line="240" w:lineRule="auto"/>
      </w:pPr>
    </w:p>
    <w:p w:rsidR="00EF628B" w:rsidRDefault="00EF628B">
      <w:pPr>
        <w:rPr>
          <w:rFonts w:ascii="Times New Roman" w:hAnsi="Times New Roman" w:cs="Times New Roman"/>
          <w:sz w:val="24"/>
          <w:lang w:val="es-AR"/>
        </w:rPr>
      </w:pPr>
      <w:r>
        <w:br w:type="page"/>
      </w:r>
    </w:p>
    <w:p w:rsidR="00EF628B" w:rsidRDefault="00EF628B" w:rsidP="00EF628B">
      <w:pPr>
        <w:pStyle w:val="Heading2"/>
      </w:pPr>
      <w:bookmarkStart w:id="7" w:name="_Toc24824773"/>
      <w:proofErr w:type="spellStart"/>
      <w:r>
        <w:lastRenderedPageBreak/>
        <w:t>Tabla</w:t>
      </w:r>
      <w:proofErr w:type="spellEnd"/>
      <w:r>
        <w:t xml:space="preserve"> </w:t>
      </w:r>
      <w:proofErr w:type="spellStart"/>
      <w:r w:rsidRPr="00EF628B">
        <w:t>Precios</w:t>
      </w:r>
      <w:proofErr w:type="spellEnd"/>
      <w:r w:rsidRPr="00EF628B">
        <w:t xml:space="preserve"> </w:t>
      </w:r>
      <w:proofErr w:type="spellStart"/>
      <w:r w:rsidRPr="00EF628B">
        <w:t>relativos</w:t>
      </w:r>
      <w:proofErr w:type="spellEnd"/>
      <w:r w:rsidRPr="00EF628B">
        <w:t xml:space="preserve"> de </w:t>
      </w:r>
      <w:proofErr w:type="spellStart"/>
      <w:r w:rsidRPr="00EF628B">
        <w:t>Salud</w:t>
      </w:r>
      <w:proofErr w:type="spellEnd"/>
      <w:r w:rsidRPr="00EF628B">
        <w:t xml:space="preserve"> </w:t>
      </w:r>
      <w:proofErr w:type="spellStart"/>
      <w:r w:rsidRPr="00EF628B">
        <w:t>Privada</w:t>
      </w:r>
      <w:proofErr w:type="spellEnd"/>
      <w:r w:rsidRPr="00EF628B">
        <w:t xml:space="preserve"> a Total </w:t>
      </w:r>
      <w:proofErr w:type="spellStart"/>
      <w:r w:rsidRPr="00EF628B">
        <w:t>Sectores</w:t>
      </w:r>
      <w:bookmarkEnd w:id="7"/>
      <w:proofErr w:type="spellEnd"/>
    </w:p>
    <w:tbl>
      <w:tblPr>
        <w:tblW w:w="9360" w:type="dxa"/>
        <w:tblBorders>
          <w:top w:val="single" w:sz="4" w:space="0" w:color="auto"/>
          <w:insideH w:val="single" w:sz="4" w:space="0" w:color="auto"/>
        </w:tblBorders>
        <w:tblLook w:val="04A0" w:firstRow="1" w:lastRow="0" w:firstColumn="1" w:lastColumn="0" w:noHBand="0" w:noVBand="1"/>
      </w:tblPr>
      <w:tblGrid>
        <w:gridCol w:w="2346"/>
        <w:gridCol w:w="888"/>
        <w:gridCol w:w="888"/>
        <w:gridCol w:w="888"/>
        <w:gridCol w:w="888"/>
        <w:gridCol w:w="888"/>
        <w:gridCol w:w="798"/>
        <w:gridCol w:w="888"/>
        <w:gridCol w:w="888"/>
      </w:tblGrid>
      <w:tr w:rsidR="00EF628B" w:rsidRPr="00EF628B" w:rsidTr="00DC4E89">
        <w:trPr>
          <w:trHeight w:val="300"/>
        </w:trPr>
        <w:tc>
          <w:tcPr>
            <w:tcW w:w="2871" w:type="dxa"/>
            <w:vMerge w:val="restart"/>
            <w:shd w:val="clear" w:color="000000" w:fill="FFFFFF"/>
            <w:vAlign w:val="center"/>
            <w:hideMark/>
          </w:tcPr>
          <w:p w:rsidR="00EF628B" w:rsidRPr="00EF628B" w:rsidRDefault="00EF628B" w:rsidP="00DC4E89">
            <w:pPr>
              <w:spacing w:after="0" w:line="240" w:lineRule="auto"/>
              <w:jc w:val="center"/>
              <w:rPr>
                <w:rFonts w:ascii="Arial" w:eastAsia="Times New Roman" w:hAnsi="Arial" w:cs="Arial"/>
                <w:sz w:val="16"/>
                <w:szCs w:val="16"/>
              </w:rPr>
            </w:pPr>
          </w:p>
        </w:tc>
        <w:tc>
          <w:tcPr>
            <w:tcW w:w="3245" w:type="dxa"/>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2004</w:t>
            </w:r>
          </w:p>
        </w:tc>
        <w:tc>
          <w:tcPr>
            <w:tcW w:w="3244" w:type="dxa"/>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2005</w:t>
            </w:r>
          </w:p>
        </w:tc>
      </w:tr>
      <w:tr w:rsidR="00EF628B" w:rsidRPr="00EF628B" w:rsidTr="00DC4E89">
        <w:trPr>
          <w:trHeight w:val="300"/>
        </w:trPr>
        <w:tc>
          <w:tcPr>
            <w:tcW w:w="2871" w:type="dxa"/>
            <w:vMerge/>
            <w:vAlign w:val="center"/>
            <w:hideMark/>
          </w:tcPr>
          <w:p w:rsidR="00EF628B" w:rsidRPr="00EF628B" w:rsidRDefault="00EF628B" w:rsidP="00DC4E89">
            <w:pPr>
              <w:spacing w:after="0" w:line="240" w:lineRule="auto"/>
              <w:jc w:val="center"/>
              <w:rPr>
                <w:rFonts w:ascii="Arial" w:eastAsia="Times New Roman" w:hAnsi="Arial" w:cs="Arial"/>
                <w:sz w:val="16"/>
                <w:szCs w:val="16"/>
              </w:rPr>
            </w:pPr>
          </w:p>
        </w:tc>
        <w:tc>
          <w:tcPr>
            <w:tcW w:w="812"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79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r>
      <w:tr w:rsidR="00EF628B" w:rsidRPr="00EF628B" w:rsidTr="00DC4E89">
        <w:trPr>
          <w:trHeight w:val="300"/>
        </w:trPr>
        <w:tc>
          <w:tcPr>
            <w:tcW w:w="287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p>
        </w:tc>
        <w:tc>
          <w:tcPr>
            <w:tcW w:w="812"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79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r>
      <w:tr w:rsidR="00EF628B" w:rsidRPr="00EF628B" w:rsidTr="00DC4E89">
        <w:trPr>
          <w:trHeight w:val="300"/>
        </w:trPr>
        <w:tc>
          <w:tcPr>
            <w:tcW w:w="287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color w:val="000000"/>
                <w:sz w:val="18"/>
                <w:szCs w:val="18"/>
                <w:lang w:val="es-AR"/>
              </w:rPr>
            </w:pPr>
            <w:r w:rsidRPr="00EF628B">
              <w:rPr>
                <w:rFonts w:ascii="Arial" w:eastAsia="Times New Roman" w:hAnsi="Arial" w:cs="Arial"/>
                <w:b/>
                <w:bCs/>
                <w:color w:val="000000"/>
                <w:sz w:val="18"/>
                <w:szCs w:val="18"/>
                <w:lang w:val="es-AR"/>
              </w:rPr>
              <w:t>Valor agregado bruto a precios básicos</w:t>
            </w:r>
          </w:p>
        </w:tc>
        <w:tc>
          <w:tcPr>
            <w:tcW w:w="812"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96.1</w:t>
            </w:r>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99.3</w:t>
            </w:r>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101.2</w:t>
            </w:r>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103.3</w:t>
            </w:r>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103.4</w:t>
            </w:r>
          </w:p>
        </w:tc>
        <w:tc>
          <w:tcPr>
            <w:tcW w:w="79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103.9</w:t>
            </w:r>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114.1</w:t>
            </w:r>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119.1</w:t>
            </w:r>
          </w:p>
        </w:tc>
      </w:tr>
      <w:tr w:rsidR="00EF628B" w:rsidRPr="00EF628B" w:rsidTr="00DC4E89">
        <w:trPr>
          <w:trHeight w:val="300"/>
        </w:trPr>
        <w:tc>
          <w:tcPr>
            <w:tcW w:w="287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proofErr w:type="spellStart"/>
            <w:r w:rsidRPr="00EF628B">
              <w:rPr>
                <w:rFonts w:ascii="Arial" w:eastAsia="Times New Roman" w:hAnsi="Arial" w:cs="Arial"/>
                <w:sz w:val="16"/>
                <w:szCs w:val="16"/>
              </w:rPr>
              <w:t>Salud</w:t>
            </w:r>
            <w:proofErr w:type="spellEnd"/>
            <w:r w:rsidRPr="00EF628B">
              <w:rPr>
                <w:rFonts w:ascii="Arial" w:eastAsia="Times New Roman" w:hAnsi="Arial" w:cs="Arial"/>
                <w:sz w:val="16"/>
                <w:szCs w:val="16"/>
              </w:rPr>
              <w:t xml:space="preserve"> </w:t>
            </w:r>
            <w:proofErr w:type="spellStart"/>
            <w:r w:rsidRPr="00EF628B">
              <w:rPr>
                <w:rFonts w:ascii="Arial" w:eastAsia="Times New Roman" w:hAnsi="Arial" w:cs="Arial"/>
                <w:sz w:val="16"/>
                <w:szCs w:val="16"/>
              </w:rPr>
              <w:t>Privada</w:t>
            </w:r>
            <w:proofErr w:type="spellEnd"/>
          </w:p>
        </w:tc>
        <w:tc>
          <w:tcPr>
            <w:tcW w:w="812"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92.6</w:t>
            </w:r>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100.6</w:t>
            </w:r>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100.8</w:t>
            </w:r>
          </w:p>
        </w:tc>
        <w:tc>
          <w:tcPr>
            <w:tcW w:w="811"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105.6</w:t>
            </w:r>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100.0</w:t>
            </w:r>
          </w:p>
        </w:tc>
        <w:tc>
          <w:tcPr>
            <w:tcW w:w="79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108.7</w:t>
            </w:r>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108.1</w:t>
            </w:r>
          </w:p>
        </w:tc>
        <w:tc>
          <w:tcPr>
            <w:tcW w:w="816"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114.6</w:t>
            </w:r>
          </w:p>
        </w:tc>
      </w:tr>
      <w:tr w:rsidR="00EF628B" w:rsidRPr="00EF628B" w:rsidTr="00DC4E89">
        <w:trPr>
          <w:trHeight w:val="300"/>
        </w:trPr>
        <w:tc>
          <w:tcPr>
            <w:tcW w:w="2871" w:type="dxa"/>
            <w:shd w:val="clear" w:color="auto" w:fill="auto"/>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p>
        </w:tc>
        <w:tc>
          <w:tcPr>
            <w:tcW w:w="812"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0.962948</w:t>
            </w:r>
          </w:p>
        </w:tc>
        <w:tc>
          <w:tcPr>
            <w:tcW w:w="811"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1.012857</w:t>
            </w:r>
          </w:p>
        </w:tc>
        <w:tc>
          <w:tcPr>
            <w:tcW w:w="811"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0.996742</w:t>
            </w:r>
          </w:p>
        </w:tc>
        <w:tc>
          <w:tcPr>
            <w:tcW w:w="811"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1.022006</w:t>
            </w:r>
          </w:p>
        </w:tc>
        <w:tc>
          <w:tcPr>
            <w:tcW w:w="816"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0.967225</w:t>
            </w:r>
          </w:p>
        </w:tc>
        <w:tc>
          <w:tcPr>
            <w:tcW w:w="796"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1.04685</w:t>
            </w:r>
          </w:p>
        </w:tc>
        <w:tc>
          <w:tcPr>
            <w:tcW w:w="816"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0.947535</w:t>
            </w:r>
          </w:p>
        </w:tc>
        <w:tc>
          <w:tcPr>
            <w:tcW w:w="816"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0.962147</w:t>
            </w:r>
          </w:p>
        </w:tc>
      </w:tr>
    </w:tbl>
    <w:p w:rsidR="00EF628B" w:rsidRDefault="00EF628B" w:rsidP="00EF628B"/>
    <w:tbl>
      <w:tblPr>
        <w:tblW w:w="0" w:type="auto"/>
        <w:tblBorders>
          <w:top w:val="single" w:sz="4" w:space="0" w:color="auto"/>
          <w:insideH w:val="single" w:sz="4" w:space="0" w:color="auto"/>
        </w:tblBorders>
        <w:tblLook w:val="04A0" w:firstRow="1" w:lastRow="0" w:firstColumn="1" w:lastColumn="0" w:noHBand="0" w:noVBand="1"/>
      </w:tblPr>
      <w:tblGrid>
        <w:gridCol w:w="769"/>
        <w:gridCol w:w="769"/>
        <w:gridCol w:w="783"/>
        <w:gridCol w:w="783"/>
        <w:gridCol w:w="782"/>
        <w:gridCol w:w="782"/>
        <w:gridCol w:w="782"/>
        <w:gridCol w:w="782"/>
        <w:gridCol w:w="782"/>
        <w:gridCol w:w="782"/>
        <w:gridCol w:w="782"/>
        <w:gridCol w:w="782"/>
      </w:tblGrid>
      <w:tr w:rsidR="00EF628B" w:rsidRPr="00EF628B" w:rsidTr="00DC4E89">
        <w:trPr>
          <w:trHeight w:val="300"/>
        </w:trPr>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2006</w:t>
            </w:r>
          </w:p>
        </w:tc>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2007</w:t>
            </w:r>
          </w:p>
        </w:tc>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2008</w:t>
            </w: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121.6</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118.9</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128.8</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132.8</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135.2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134.5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150.3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159.0</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167.9</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171.3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182.2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189.9</w:t>
            </w: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120.7</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130.6</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131.8</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137.6</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148.4</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166.0</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163.0</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169.9</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200.0</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220.1</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220.5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227.2</w:t>
            </w:r>
          </w:p>
        </w:tc>
      </w:tr>
      <w:tr w:rsidR="00EF628B" w:rsidRPr="00EF628B" w:rsidTr="00DC4E89">
        <w:trPr>
          <w:trHeight w:val="300"/>
        </w:trPr>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0.99247</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1.09808</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1.023323</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1.036525</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1.097733</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1.233709</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1.084813</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1.068207</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1.191369</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1.285141</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1.210393</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1.196297</w:t>
            </w:r>
          </w:p>
        </w:tc>
      </w:tr>
    </w:tbl>
    <w:p w:rsidR="00EF628B" w:rsidRDefault="00EF628B" w:rsidP="00EF628B"/>
    <w:tbl>
      <w:tblPr>
        <w:tblW w:w="0" w:type="auto"/>
        <w:tblBorders>
          <w:top w:val="single" w:sz="4" w:space="0" w:color="auto"/>
          <w:insideH w:val="single" w:sz="4" w:space="0" w:color="auto"/>
        </w:tblBorders>
        <w:tblLook w:val="04A0" w:firstRow="1" w:lastRow="0" w:firstColumn="1" w:lastColumn="0" w:noHBand="0" w:noVBand="1"/>
      </w:tblPr>
      <w:tblGrid>
        <w:gridCol w:w="782"/>
        <w:gridCol w:w="782"/>
        <w:gridCol w:w="782"/>
        <w:gridCol w:w="781"/>
        <w:gridCol w:w="781"/>
        <w:gridCol w:w="781"/>
        <w:gridCol w:w="781"/>
        <w:gridCol w:w="781"/>
        <w:gridCol w:w="781"/>
        <w:gridCol w:w="781"/>
        <w:gridCol w:w="781"/>
        <w:gridCol w:w="766"/>
      </w:tblGrid>
      <w:tr w:rsidR="00EF628B" w:rsidRPr="00EF628B" w:rsidTr="00DC4E89">
        <w:trPr>
          <w:trHeight w:val="300"/>
        </w:trPr>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2009</w:t>
            </w:r>
          </w:p>
        </w:tc>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2010</w:t>
            </w:r>
          </w:p>
        </w:tc>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2011</w:t>
            </w: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192.5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197.6</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207.8</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219.6</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232.6</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229.3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256.0</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273.2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287.1</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293.3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318.7</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335.2</w:t>
            </w: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246.9</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274.6</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272.3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280.7</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315.6</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348.2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350.8</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360.7</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398.5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439.2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496.2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525.6</w:t>
            </w:r>
          </w:p>
        </w:tc>
      </w:tr>
      <w:tr w:rsidR="00EF628B" w:rsidRPr="00EF628B" w:rsidTr="00DC4E89">
        <w:trPr>
          <w:trHeight w:val="300"/>
        </w:trPr>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1.282371</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1.389584</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1.310653</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1.278158</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1.356877</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1.518278</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1.369943</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1.320132</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1.388036</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1.497541</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1.556757</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1.56795</w:t>
            </w:r>
          </w:p>
        </w:tc>
      </w:tr>
    </w:tbl>
    <w:p w:rsidR="00EF628B" w:rsidRDefault="00EF628B" w:rsidP="00EF628B"/>
    <w:tbl>
      <w:tblPr>
        <w:tblW w:w="0" w:type="auto"/>
        <w:tblBorders>
          <w:top w:val="single" w:sz="4" w:space="0" w:color="auto"/>
          <w:insideH w:val="single" w:sz="4" w:space="0" w:color="auto"/>
        </w:tblBorders>
        <w:tblLook w:val="04A0" w:firstRow="1" w:lastRow="0" w:firstColumn="1" w:lastColumn="0" w:noHBand="0" w:noVBand="1"/>
      </w:tblPr>
      <w:tblGrid>
        <w:gridCol w:w="780"/>
        <w:gridCol w:w="780"/>
        <w:gridCol w:w="780"/>
        <w:gridCol w:w="780"/>
        <w:gridCol w:w="780"/>
        <w:gridCol w:w="780"/>
        <w:gridCol w:w="780"/>
        <w:gridCol w:w="780"/>
        <w:gridCol w:w="780"/>
        <w:gridCol w:w="780"/>
        <w:gridCol w:w="780"/>
        <w:gridCol w:w="780"/>
      </w:tblGrid>
      <w:tr w:rsidR="00EF628B" w:rsidRPr="00EF628B" w:rsidTr="00DC4E89">
        <w:trPr>
          <w:trHeight w:val="300"/>
        </w:trPr>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2012</w:t>
            </w:r>
          </w:p>
        </w:tc>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2013</w:t>
            </w:r>
          </w:p>
        </w:tc>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2014</w:t>
            </w: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351.5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364.9</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387.5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408.1</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434.2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439.4</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480.4</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528.3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589.4</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621.3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682.2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726.9</w:t>
            </w: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537.2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517.9</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622.4</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717.0</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632.3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674.2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800.5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944.5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816.0</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882.2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1,093.5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1,316.5</w:t>
            </w:r>
          </w:p>
        </w:tc>
      </w:tr>
      <w:tr w:rsidR="00EF628B" w:rsidRPr="00EF628B" w:rsidTr="00DC4E89">
        <w:trPr>
          <w:trHeight w:val="300"/>
        </w:trPr>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1.528345</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1.419141</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1.606295</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1.756946</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1.456406</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1.534217</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1.666388</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1.787636</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1.384537</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1.419937</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1.602927</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1.811083</w:t>
            </w:r>
          </w:p>
        </w:tc>
      </w:tr>
    </w:tbl>
    <w:p w:rsidR="00EF628B" w:rsidRDefault="00EF628B" w:rsidP="00EF628B"/>
    <w:p w:rsidR="00DC4E89" w:rsidRDefault="00DC4E89" w:rsidP="00EF628B"/>
    <w:p w:rsidR="00DC4E89" w:rsidRDefault="00DC4E89" w:rsidP="00EF628B"/>
    <w:p w:rsidR="00DC4E89" w:rsidRDefault="00DC4E89" w:rsidP="00EF628B"/>
    <w:tbl>
      <w:tblPr>
        <w:tblW w:w="0" w:type="auto"/>
        <w:tblBorders>
          <w:top w:val="single" w:sz="4" w:space="0" w:color="auto"/>
          <w:insideH w:val="single" w:sz="4" w:space="0" w:color="auto"/>
        </w:tblBorders>
        <w:tblLook w:val="04A0" w:firstRow="1" w:lastRow="0" w:firstColumn="1" w:lastColumn="0" w:noHBand="0" w:noVBand="1"/>
      </w:tblPr>
      <w:tblGrid>
        <w:gridCol w:w="782"/>
        <w:gridCol w:w="782"/>
        <w:gridCol w:w="782"/>
        <w:gridCol w:w="781"/>
        <w:gridCol w:w="781"/>
        <w:gridCol w:w="781"/>
        <w:gridCol w:w="781"/>
        <w:gridCol w:w="766"/>
        <w:gridCol w:w="781"/>
        <w:gridCol w:w="781"/>
        <w:gridCol w:w="781"/>
        <w:gridCol w:w="781"/>
      </w:tblGrid>
      <w:tr w:rsidR="00EF628B" w:rsidRPr="00EF628B" w:rsidTr="00DC4E89">
        <w:trPr>
          <w:trHeight w:val="300"/>
        </w:trPr>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lastRenderedPageBreak/>
              <w:t>2015</w:t>
            </w:r>
          </w:p>
        </w:tc>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2016</w:t>
            </w:r>
          </w:p>
        </w:tc>
        <w:tc>
          <w:tcPr>
            <w:tcW w:w="0" w:type="auto"/>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2017 (</w:t>
            </w:r>
            <w:r w:rsidRPr="00EF628B">
              <w:rPr>
                <w:rFonts w:ascii="Calibri" w:eastAsia="Times New Roman" w:hAnsi="Calibri" w:cs="Calibri"/>
                <w:sz w:val="16"/>
                <w:szCs w:val="16"/>
                <w:vertAlign w:val="superscript"/>
              </w:rPr>
              <w:t>1</w:t>
            </w:r>
            <w:r w:rsidRPr="00EF628B">
              <w:rPr>
                <w:rFonts w:ascii="Calibri" w:eastAsia="Times New Roman" w:hAnsi="Calibri" w:cs="Calibri"/>
                <w:sz w:val="16"/>
                <w:szCs w:val="16"/>
              </w:rPr>
              <w:t>)</w:t>
            </w: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765.6</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749.8</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875.2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939.8</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1,053.3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1,111.5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1,243.6</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1,308.2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1,385.0</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1,369.3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1,555.8</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1,639.4</w:t>
            </w:r>
          </w:p>
        </w:tc>
      </w:tr>
      <w:tr w:rsidR="00EF628B" w:rsidRPr="00EF628B" w:rsidTr="00DC4E89">
        <w:trPr>
          <w:trHeight w:val="300"/>
        </w:trPr>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1,222.7</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1,298.3</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1,376.8</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1,515.2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1,625.7</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1,830.2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2,010.5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2,134.2</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2,239.1</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2,379.9</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2,572.5</w:t>
            </w:r>
          </w:p>
        </w:tc>
        <w:tc>
          <w:tcPr>
            <w:tcW w:w="0" w:type="auto"/>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2,696.3</w:t>
            </w:r>
          </w:p>
        </w:tc>
      </w:tr>
      <w:tr w:rsidR="00EF628B" w:rsidRPr="00EF628B" w:rsidTr="00DC4E89">
        <w:trPr>
          <w:trHeight w:val="300"/>
        </w:trPr>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1.596986</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1.731485</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1.573108</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1.612223</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1.543455</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1.646637</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1.616691</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1.63137</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1.616684</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1.738061</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1.653465</w:t>
            </w:r>
          </w:p>
        </w:tc>
        <w:tc>
          <w:tcPr>
            <w:tcW w:w="0" w:type="auto"/>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1.644697</w:t>
            </w:r>
          </w:p>
        </w:tc>
      </w:tr>
    </w:tbl>
    <w:p w:rsidR="00EF628B" w:rsidRDefault="00EF628B" w:rsidP="00EF628B"/>
    <w:tbl>
      <w:tblPr>
        <w:tblW w:w="5760" w:type="dxa"/>
        <w:tblBorders>
          <w:top w:val="single" w:sz="4" w:space="0" w:color="auto"/>
          <w:insideH w:val="single" w:sz="4" w:space="0" w:color="auto"/>
        </w:tblBorders>
        <w:tblLook w:val="04A0" w:firstRow="1" w:lastRow="0" w:firstColumn="1" w:lastColumn="0" w:noHBand="0" w:noVBand="1"/>
      </w:tblPr>
      <w:tblGrid>
        <w:gridCol w:w="1053"/>
        <w:gridCol w:w="1053"/>
        <w:gridCol w:w="1053"/>
        <w:gridCol w:w="1053"/>
        <w:gridCol w:w="1053"/>
        <w:gridCol w:w="1053"/>
      </w:tblGrid>
      <w:tr w:rsidR="00EF628B" w:rsidRPr="00EF628B" w:rsidTr="00DC4E89">
        <w:trPr>
          <w:trHeight w:val="300"/>
        </w:trPr>
        <w:tc>
          <w:tcPr>
            <w:tcW w:w="3840" w:type="dxa"/>
            <w:gridSpan w:val="4"/>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2018 (</w:t>
            </w:r>
            <w:r w:rsidRPr="00EF628B">
              <w:rPr>
                <w:rFonts w:ascii="Calibri" w:eastAsia="Times New Roman" w:hAnsi="Calibri" w:cs="Calibri"/>
                <w:sz w:val="16"/>
                <w:szCs w:val="16"/>
                <w:vertAlign w:val="superscript"/>
              </w:rPr>
              <w:t>2</w:t>
            </w:r>
            <w:r w:rsidRPr="00EF628B">
              <w:rPr>
                <w:rFonts w:ascii="Calibri" w:eastAsia="Times New Roman" w:hAnsi="Calibri" w:cs="Calibri"/>
                <w:sz w:val="16"/>
                <w:szCs w:val="16"/>
              </w:rPr>
              <w:t>)</w:t>
            </w:r>
          </w:p>
        </w:tc>
        <w:tc>
          <w:tcPr>
            <w:tcW w:w="1920" w:type="dxa"/>
            <w:gridSpan w:val="2"/>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2019 (</w:t>
            </w:r>
            <w:r w:rsidRPr="00EF628B">
              <w:rPr>
                <w:rFonts w:ascii="Calibri" w:eastAsia="Times New Roman" w:hAnsi="Calibri" w:cs="Calibri"/>
                <w:sz w:val="16"/>
                <w:szCs w:val="16"/>
                <w:vertAlign w:val="superscript"/>
              </w:rPr>
              <w:t>2</w:t>
            </w:r>
            <w:r w:rsidRPr="00EF628B">
              <w:rPr>
                <w:rFonts w:ascii="Calibri" w:eastAsia="Times New Roman" w:hAnsi="Calibri" w:cs="Calibri"/>
                <w:sz w:val="16"/>
                <w:szCs w:val="16"/>
              </w:rPr>
              <w:t>)</w:t>
            </w:r>
          </w:p>
        </w:tc>
      </w:tr>
      <w:tr w:rsidR="00EF628B" w:rsidRPr="00EF628B" w:rsidTr="00DC4E89">
        <w:trPr>
          <w:trHeight w:val="300"/>
        </w:trPr>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3º </w:t>
            </w:r>
            <w:proofErr w:type="spellStart"/>
            <w:r w:rsidRPr="00EF628B">
              <w:rPr>
                <w:rFonts w:ascii="Arial" w:eastAsia="Times New Roman" w:hAnsi="Arial" w:cs="Arial"/>
                <w:sz w:val="16"/>
                <w:szCs w:val="16"/>
              </w:rPr>
              <w:t>trimestre</w:t>
            </w:r>
            <w:proofErr w:type="spellEnd"/>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4º </w:t>
            </w:r>
            <w:proofErr w:type="spellStart"/>
            <w:r w:rsidRPr="00EF628B">
              <w:rPr>
                <w:rFonts w:ascii="Arial" w:eastAsia="Times New Roman" w:hAnsi="Arial" w:cs="Arial"/>
                <w:sz w:val="16"/>
                <w:szCs w:val="16"/>
              </w:rPr>
              <w:t>trimestre</w:t>
            </w:r>
            <w:proofErr w:type="spellEnd"/>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1º </w:t>
            </w:r>
            <w:proofErr w:type="spellStart"/>
            <w:r w:rsidRPr="00EF628B">
              <w:rPr>
                <w:rFonts w:ascii="Arial" w:eastAsia="Times New Roman" w:hAnsi="Arial" w:cs="Arial"/>
                <w:sz w:val="16"/>
                <w:szCs w:val="16"/>
              </w:rPr>
              <w:t>trimestre</w:t>
            </w:r>
            <w:proofErr w:type="spellEnd"/>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 xml:space="preserve">2º </w:t>
            </w:r>
            <w:proofErr w:type="spellStart"/>
            <w:r w:rsidRPr="00EF628B">
              <w:rPr>
                <w:rFonts w:ascii="Arial" w:eastAsia="Times New Roman" w:hAnsi="Arial" w:cs="Arial"/>
                <w:sz w:val="16"/>
                <w:szCs w:val="16"/>
              </w:rPr>
              <w:t>trimestre</w:t>
            </w:r>
            <w:proofErr w:type="spellEnd"/>
          </w:p>
        </w:tc>
      </w:tr>
      <w:tr w:rsidR="00EF628B" w:rsidRPr="00EF628B" w:rsidTr="00DC4E89">
        <w:trPr>
          <w:trHeight w:val="300"/>
        </w:trPr>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p>
        </w:tc>
        <w:tc>
          <w:tcPr>
            <w:tcW w:w="960" w:type="dxa"/>
            <w:shd w:val="clear" w:color="000000" w:fill="FFFFFF"/>
            <w:noWrap/>
            <w:vAlign w:val="center"/>
            <w:hideMark/>
          </w:tcPr>
          <w:p w:rsidR="00EF628B" w:rsidRPr="00EF628B" w:rsidRDefault="00EF628B" w:rsidP="00DC4E89">
            <w:pPr>
              <w:spacing w:after="0" w:line="240" w:lineRule="auto"/>
              <w:jc w:val="center"/>
              <w:rPr>
                <w:rFonts w:ascii="Calibri" w:eastAsia="Times New Roman" w:hAnsi="Calibri" w:cs="Calibri"/>
                <w:sz w:val="16"/>
                <w:szCs w:val="16"/>
              </w:rPr>
            </w:pPr>
          </w:p>
        </w:tc>
      </w:tr>
      <w:tr w:rsidR="00EF628B" w:rsidRPr="00EF628B" w:rsidTr="00DC4E89">
        <w:trPr>
          <w:trHeight w:val="300"/>
        </w:trPr>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1,777.7</w:t>
            </w: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1,920.6</w:t>
            </w: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2,199.0</w:t>
            </w: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2,522.6</w:t>
            </w: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2,684.8</w:t>
            </w: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b/>
                <w:bCs/>
                <w:sz w:val="16"/>
                <w:szCs w:val="16"/>
              </w:rPr>
            </w:pPr>
            <w:r w:rsidRPr="00EF628B">
              <w:rPr>
                <w:rFonts w:ascii="Arial" w:eastAsia="Times New Roman" w:hAnsi="Arial" w:cs="Arial"/>
                <w:b/>
                <w:bCs/>
                <w:sz w:val="16"/>
                <w:szCs w:val="16"/>
              </w:rPr>
              <w:t>2,872.2</w:t>
            </w:r>
          </w:p>
        </w:tc>
      </w:tr>
      <w:tr w:rsidR="00EF628B" w:rsidRPr="00EF628B" w:rsidTr="00DC4E89">
        <w:trPr>
          <w:trHeight w:val="300"/>
        </w:trPr>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2,836.0</w:t>
            </w: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3,042.6</w:t>
            </w: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3,410.6</w:t>
            </w: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3,917.3</w:t>
            </w: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3,941.7</w:t>
            </w:r>
          </w:p>
        </w:tc>
        <w:tc>
          <w:tcPr>
            <w:tcW w:w="960" w:type="dxa"/>
            <w:shd w:val="clear" w:color="000000" w:fill="FFFFFF"/>
            <w:noWrap/>
            <w:vAlign w:val="center"/>
            <w:hideMark/>
          </w:tcPr>
          <w:p w:rsidR="00EF628B" w:rsidRPr="00EF628B" w:rsidRDefault="00EF628B" w:rsidP="00DC4E89">
            <w:pPr>
              <w:spacing w:after="0" w:line="240" w:lineRule="auto"/>
              <w:jc w:val="center"/>
              <w:rPr>
                <w:rFonts w:ascii="Arial" w:eastAsia="Times New Roman" w:hAnsi="Arial" w:cs="Arial"/>
                <w:sz w:val="16"/>
                <w:szCs w:val="16"/>
              </w:rPr>
            </w:pPr>
            <w:r w:rsidRPr="00EF628B">
              <w:rPr>
                <w:rFonts w:ascii="Arial" w:eastAsia="Times New Roman" w:hAnsi="Arial" w:cs="Arial"/>
                <w:sz w:val="16"/>
                <w:szCs w:val="16"/>
              </w:rPr>
              <w:t>4,415.4</w:t>
            </w:r>
          </w:p>
        </w:tc>
      </w:tr>
      <w:tr w:rsidR="00EF628B" w:rsidRPr="00EF628B" w:rsidTr="00DC4E89">
        <w:trPr>
          <w:trHeight w:val="300"/>
        </w:trPr>
        <w:tc>
          <w:tcPr>
            <w:tcW w:w="960"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1.595389</w:t>
            </w:r>
          </w:p>
        </w:tc>
        <w:tc>
          <w:tcPr>
            <w:tcW w:w="960"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1.584178</w:t>
            </w:r>
          </w:p>
        </w:tc>
        <w:tc>
          <w:tcPr>
            <w:tcW w:w="960"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1.550983</w:t>
            </w:r>
          </w:p>
        </w:tc>
        <w:tc>
          <w:tcPr>
            <w:tcW w:w="960"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1.552888</w:t>
            </w:r>
          </w:p>
        </w:tc>
        <w:tc>
          <w:tcPr>
            <w:tcW w:w="960"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1.468162</w:t>
            </w:r>
          </w:p>
        </w:tc>
        <w:tc>
          <w:tcPr>
            <w:tcW w:w="960" w:type="dxa"/>
            <w:shd w:val="clear" w:color="auto" w:fill="auto"/>
            <w:noWrap/>
            <w:vAlign w:val="center"/>
            <w:hideMark/>
          </w:tcPr>
          <w:p w:rsidR="00EF628B" w:rsidRPr="00EF628B" w:rsidRDefault="00EF628B" w:rsidP="00DC4E89">
            <w:pPr>
              <w:spacing w:after="0" w:line="240" w:lineRule="auto"/>
              <w:jc w:val="center"/>
              <w:rPr>
                <w:rFonts w:ascii="Calibri" w:eastAsia="Times New Roman" w:hAnsi="Calibri" w:cs="Calibri"/>
                <w:color w:val="000000"/>
              </w:rPr>
            </w:pPr>
            <w:r w:rsidRPr="00EF628B">
              <w:rPr>
                <w:rFonts w:ascii="Calibri" w:eastAsia="Times New Roman" w:hAnsi="Calibri" w:cs="Calibri"/>
                <w:color w:val="000000"/>
              </w:rPr>
              <w:t>1.537293</w:t>
            </w:r>
          </w:p>
        </w:tc>
      </w:tr>
    </w:tbl>
    <w:p w:rsidR="00EF628B" w:rsidRDefault="00EF628B" w:rsidP="00EF628B"/>
    <w:p w:rsidR="00EF628B" w:rsidRDefault="00EF628B">
      <w:r>
        <w:br w:type="page"/>
      </w:r>
    </w:p>
    <w:p w:rsidR="00EF628B" w:rsidRDefault="00EF628B" w:rsidP="009C4D68">
      <w:pPr>
        <w:pStyle w:val="Heading2"/>
        <w:rPr>
          <w:lang w:val="es-AR"/>
        </w:rPr>
      </w:pPr>
      <w:bookmarkStart w:id="8" w:name="_Toc24824774"/>
      <w:r w:rsidRPr="00EF628B">
        <w:rPr>
          <w:lang w:val="es-AR"/>
        </w:rPr>
        <w:lastRenderedPageBreak/>
        <w:t>Tabla Participación del sector Salud Privada</w:t>
      </w:r>
      <w:r>
        <w:rPr>
          <w:lang w:val="es-AR"/>
        </w:rPr>
        <w:t xml:space="preserve"> </w:t>
      </w:r>
      <w:r w:rsidRPr="00EF628B">
        <w:rPr>
          <w:lang w:val="es-AR"/>
        </w:rPr>
        <w:t xml:space="preserve">en </w:t>
      </w:r>
      <w:proofErr w:type="spellStart"/>
      <w:r w:rsidRPr="00EF628B">
        <w:rPr>
          <w:lang w:val="es-AR"/>
        </w:rPr>
        <w:t>el</w:t>
      </w:r>
      <w:proofErr w:type="spellEnd"/>
      <w:r w:rsidRPr="00EF628B">
        <w:rPr>
          <w:lang w:val="es-AR"/>
        </w:rPr>
        <w:t xml:space="preserve"> VA a precios corrientes de todos los sectores (en %)</w:t>
      </w:r>
      <w:bookmarkEnd w:id="8"/>
    </w:p>
    <w:tbl>
      <w:tblPr>
        <w:tblW w:w="9350" w:type="dxa"/>
        <w:tblLook w:val="04A0" w:firstRow="1" w:lastRow="0" w:firstColumn="1" w:lastColumn="0" w:noHBand="0" w:noVBand="1"/>
      </w:tblPr>
      <w:tblGrid>
        <w:gridCol w:w="2789"/>
        <w:gridCol w:w="821"/>
        <w:gridCol w:w="820"/>
        <w:gridCol w:w="820"/>
        <w:gridCol w:w="820"/>
        <w:gridCol w:w="820"/>
        <w:gridCol w:w="820"/>
        <w:gridCol w:w="820"/>
        <w:gridCol w:w="820"/>
      </w:tblGrid>
      <w:tr w:rsidR="009C4D68" w:rsidRPr="009C4D68" w:rsidTr="00DC4E89">
        <w:trPr>
          <w:trHeight w:val="300"/>
        </w:trPr>
        <w:tc>
          <w:tcPr>
            <w:tcW w:w="2868" w:type="dxa"/>
            <w:vMerge w:val="restart"/>
            <w:tcBorders>
              <w:top w:val="single" w:sz="4" w:space="0" w:color="auto"/>
              <w:left w:val="single" w:sz="4" w:space="0" w:color="auto"/>
              <w:bottom w:val="single" w:sz="4" w:space="0" w:color="000000"/>
              <w:right w:val="nil"/>
            </w:tcBorders>
            <w:shd w:val="clear" w:color="000000" w:fill="FFFFFF"/>
            <w:vAlign w:val="center"/>
            <w:hideMark/>
          </w:tcPr>
          <w:p w:rsidR="009C4D68" w:rsidRPr="009C4D68" w:rsidRDefault="009C4D68" w:rsidP="00DC4E89">
            <w:pPr>
              <w:spacing w:after="0" w:line="240" w:lineRule="auto"/>
              <w:jc w:val="center"/>
              <w:rPr>
                <w:rFonts w:ascii="Arial" w:eastAsia="Times New Roman" w:hAnsi="Arial" w:cs="Arial"/>
                <w:sz w:val="16"/>
                <w:szCs w:val="16"/>
              </w:rPr>
            </w:pPr>
          </w:p>
        </w:tc>
        <w:tc>
          <w:tcPr>
            <w:tcW w:w="3242" w:type="dxa"/>
            <w:gridSpan w:val="4"/>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2004</w:t>
            </w:r>
          </w:p>
        </w:tc>
        <w:tc>
          <w:tcPr>
            <w:tcW w:w="3240" w:type="dxa"/>
            <w:gridSpan w:val="4"/>
            <w:tcBorders>
              <w:top w:val="single" w:sz="4" w:space="0" w:color="auto"/>
              <w:left w:val="nil"/>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2005</w:t>
            </w:r>
          </w:p>
        </w:tc>
      </w:tr>
      <w:tr w:rsidR="009C4D68" w:rsidRPr="009C4D68" w:rsidTr="00DC4E89">
        <w:trPr>
          <w:trHeight w:val="300"/>
        </w:trPr>
        <w:tc>
          <w:tcPr>
            <w:tcW w:w="2868" w:type="dxa"/>
            <w:vMerge/>
            <w:tcBorders>
              <w:top w:val="single" w:sz="4" w:space="0" w:color="auto"/>
              <w:left w:val="single" w:sz="4" w:space="0" w:color="auto"/>
              <w:bottom w:val="single" w:sz="4" w:space="0" w:color="000000"/>
              <w:right w:val="nil"/>
            </w:tcBorders>
            <w:vAlign w:val="center"/>
            <w:hideMark/>
          </w:tcPr>
          <w:p w:rsidR="009C4D68" w:rsidRPr="009C4D68" w:rsidRDefault="009C4D68" w:rsidP="00DC4E89">
            <w:pPr>
              <w:spacing w:after="0" w:line="240" w:lineRule="auto"/>
              <w:jc w:val="center"/>
              <w:rPr>
                <w:rFonts w:ascii="Arial" w:eastAsia="Times New Roman" w:hAnsi="Arial" w:cs="Arial"/>
                <w:sz w:val="16"/>
                <w:szCs w:val="16"/>
              </w:rPr>
            </w:pPr>
          </w:p>
        </w:tc>
        <w:tc>
          <w:tcPr>
            <w:tcW w:w="811" w:type="dxa"/>
            <w:tcBorders>
              <w:top w:val="nil"/>
              <w:left w:val="single" w:sz="4" w:space="0" w:color="auto"/>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811" w:type="dxa"/>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810" w:type="dxa"/>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810" w:type="dxa"/>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c>
          <w:tcPr>
            <w:tcW w:w="810" w:type="dxa"/>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810" w:type="dxa"/>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810" w:type="dxa"/>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810" w:type="dxa"/>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r>
      <w:tr w:rsidR="009C4D68" w:rsidRPr="009C4D68" w:rsidTr="00DC4E89">
        <w:trPr>
          <w:trHeight w:val="300"/>
        </w:trPr>
        <w:tc>
          <w:tcPr>
            <w:tcW w:w="2868" w:type="dxa"/>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color w:val="000000"/>
                <w:sz w:val="18"/>
                <w:szCs w:val="18"/>
                <w:lang w:val="es-AR"/>
              </w:rPr>
            </w:pPr>
            <w:r w:rsidRPr="009C4D68">
              <w:rPr>
                <w:rFonts w:ascii="Arial" w:eastAsia="Times New Roman" w:hAnsi="Arial" w:cs="Arial"/>
                <w:b/>
                <w:bCs/>
                <w:color w:val="000000"/>
                <w:sz w:val="18"/>
                <w:szCs w:val="18"/>
                <w:lang w:val="es-AR"/>
              </w:rPr>
              <w:t>Valor agregado bruto a precios básicos</w:t>
            </w:r>
          </w:p>
        </w:tc>
        <w:tc>
          <w:tcPr>
            <w:tcW w:w="811" w:type="dxa"/>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375,626</w:t>
            </w:r>
          </w:p>
        </w:tc>
        <w:tc>
          <w:tcPr>
            <w:tcW w:w="811" w:type="dxa"/>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436,611</w:t>
            </w:r>
          </w:p>
        </w:tc>
        <w:tc>
          <w:tcPr>
            <w:tcW w:w="810" w:type="dxa"/>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411,324</w:t>
            </w:r>
          </w:p>
        </w:tc>
        <w:tc>
          <w:tcPr>
            <w:tcW w:w="810" w:type="dxa"/>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426,148</w:t>
            </w:r>
          </w:p>
        </w:tc>
        <w:tc>
          <w:tcPr>
            <w:tcW w:w="810" w:type="dxa"/>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434,074</w:t>
            </w:r>
          </w:p>
        </w:tc>
        <w:tc>
          <w:tcPr>
            <w:tcW w:w="810" w:type="dxa"/>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517,816</w:t>
            </w:r>
          </w:p>
        </w:tc>
        <w:tc>
          <w:tcPr>
            <w:tcW w:w="810" w:type="dxa"/>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498,889</w:t>
            </w:r>
          </w:p>
        </w:tc>
        <w:tc>
          <w:tcPr>
            <w:tcW w:w="810" w:type="dxa"/>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531,044</w:t>
            </w:r>
          </w:p>
        </w:tc>
      </w:tr>
      <w:tr w:rsidR="009C4D68" w:rsidRPr="009C4D68" w:rsidTr="00DC4E89">
        <w:trPr>
          <w:trHeight w:val="300"/>
        </w:trPr>
        <w:tc>
          <w:tcPr>
            <w:tcW w:w="2868" w:type="dxa"/>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proofErr w:type="spellStart"/>
            <w:r w:rsidRPr="009C4D68">
              <w:rPr>
                <w:rFonts w:ascii="Arial" w:eastAsia="Times New Roman" w:hAnsi="Arial" w:cs="Arial"/>
                <w:sz w:val="16"/>
                <w:szCs w:val="16"/>
              </w:rPr>
              <w:t>Salud</w:t>
            </w:r>
            <w:proofErr w:type="spellEnd"/>
            <w:r w:rsidRPr="009C4D68">
              <w:rPr>
                <w:rFonts w:ascii="Arial" w:eastAsia="Times New Roman" w:hAnsi="Arial" w:cs="Arial"/>
                <w:sz w:val="16"/>
                <w:szCs w:val="16"/>
              </w:rPr>
              <w:t xml:space="preserve"> </w:t>
            </w:r>
            <w:proofErr w:type="spellStart"/>
            <w:r w:rsidRPr="009C4D68">
              <w:rPr>
                <w:rFonts w:ascii="Arial" w:eastAsia="Times New Roman" w:hAnsi="Arial" w:cs="Arial"/>
                <w:sz w:val="16"/>
                <w:szCs w:val="16"/>
              </w:rPr>
              <w:t>Privada</w:t>
            </w:r>
            <w:proofErr w:type="spellEnd"/>
          </w:p>
        </w:tc>
        <w:tc>
          <w:tcPr>
            <w:tcW w:w="811" w:type="dxa"/>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7,643</w:t>
            </w:r>
          </w:p>
        </w:tc>
        <w:tc>
          <w:tcPr>
            <w:tcW w:w="811" w:type="dxa"/>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9,409</w:t>
            </w:r>
          </w:p>
        </w:tc>
        <w:tc>
          <w:tcPr>
            <w:tcW w:w="810" w:type="dxa"/>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9,462</w:t>
            </w:r>
          </w:p>
        </w:tc>
        <w:tc>
          <w:tcPr>
            <w:tcW w:w="810" w:type="dxa"/>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9,177</w:t>
            </w:r>
          </w:p>
        </w:tc>
        <w:tc>
          <w:tcPr>
            <w:tcW w:w="810" w:type="dxa"/>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9,361</w:t>
            </w:r>
          </w:p>
        </w:tc>
        <w:tc>
          <w:tcPr>
            <w:tcW w:w="810" w:type="dxa"/>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11,307</w:t>
            </w:r>
          </w:p>
        </w:tc>
        <w:tc>
          <w:tcPr>
            <w:tcW w:w="810" w:type="dxa"/>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11,281</w:t>
            </w:r>
          </w:p>
        </w:tc>
        <w:tc>
          <w:tcPr>
            <w:tcW w:w="810" w:type="dxa"/>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10,984</w:t>
            </w:r>
          </w:p>
        </w:tc>
      </w:tr>
      <w:tr w:rsidR="009C4D68" w:rsidRPr="009C4D68" w:rsidTr="00DC4E89">
        <w:trPr>
          <w:trHeight w:val="300"/>
        </w:trPr>
        <w:tc>
          <w:tcPr>
            <w:tcW w:w="2868" w:type="dxa"/>
            <w:tcBorders>
              <w:top w:val="nil"/>
              <w:left w:val="single" w:sz="4" w:space="0" w:color="auto"/>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p>
        </w:tc>
        <w:tc>
          <w:tcPr>
            <w:tcW w:w="811" w:type="dxa"/>
            <w:tcBorders>
              <w:top w:val="nil"/>
              <w:left w:val="single" w:sz="4" w:space="0" w:color="auto"/>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2.03%</w:t>
            </w:r>
          </w:p>
        </w:tc>
        <w:tc>
          <w:tcPr>
            <w:tcW w:w="811" w:type="dxa"/>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2.16%</w:t>
            </w:r>
          </w:p>
        </w:tc>
        <w:tc>
          <w:tcPr>
            <w:tcW w:w="810" w:type="dxa"/>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2.30%</w:t>
            </w:r>
          </w:p>
        </w:tc>
        <w:tc>
          <w:tcPr>
            <w:tcW w:w="810" w:type="dxa"/>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2.15%</w:t>
            </w:r>
          </w:p>
        </w:tc>
        <w:tc>
          <w:tcPr>
            <w:tcW w:w="810" w:type="dxa"/>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2.16%</w:t>
            </w:r>
          </w:p>
        </w:tc>
        <w:tc>
          <w:tcPr>
            <w:tcW w:w="810" w:type="dxa"/>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2.18%</w:t>
            </w:r>
          </w:p>
        </w:tc>
        <w:tc>
          <w:tcPr>
            <w:tcW w:w="810" w:type="dxa"/>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2.26%</w:t>
            </w:r>
          </w:p>
        </w:tc>
        <w:tc>
          <w:tcPr>
            <w:tcW w:w="810" w:type="dxa"/>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2.07%</w:t>
            </w:r>
          </w:p>
        </w:tc>
      </w:tr>
    </w:tbl>
    <w:p w:rsidR="009C4D68" w:rsidRPr="009C4D68" w:rsidRDefault="009C4D68" w:rsidP="009C4D68">
      <w:pPr>
        <w:spacing w:after="0"/>
        <w:rPr>
          <w:sz w:val="10"/>
          <w:lang w:val="es-AR"/>
        </w:rPr>
      </w:pPr>
    </w:p>
    <w:tbl>
      <w:tblPr>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9C4D68" w:rsidRPr="009C4D68" w:rsidTr="00DC4E8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2006</w:t>
            </w:r>
          </w:p>
        </w:tc>
        <w:tc>
          <w:tcPr>
            <w:tcW w:w="0" w:type="auto"/>
            <w:gridSpan w:val="4"/>
            <w:tcBorders>
              <w:top w:val="single" w:sz="4" w:space="0" w:color="auto"/>
              <w:left w:val="nil"/>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2007</w:t>
            </w:r>
          </w:p>
        </w:tc>
        <w:tc>
          <w:tcPr>
            <w:tcW w:w="0" w:type="auto"/>
            <w:gridSpan w:val="4"/>
            <w:tcBorders>
              <w:top w:val="single" w:sz="4" w:space="0" w:color="auto"/>
              <w:left w:val="nil"/>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2008</w:t>
            </w:r>
          </w:p>
        </w:tc>
      </w:tr>
      <w:tr w:rsidR="009C4D68" w:rsidRPr="009C4D68" w:rsidTr="00DC4E89">
        <w:trPr>
          <w:trHeight w:val="300"/>
        </w:trPr>
        <w:tc>
          <w:tcPr>
            <w:tcW w:w="0" w:type="auto"/>
            <w:tcBorders>
              <w:top w:val="nil"/>
              <w:left w:val="single" w:sz="4" w:space="0" w:color="auto"/>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r>
      <w:tr w:rsidR="009C4D68" w:rsidRPr="009C4D68" w:rsidTr="00DC4E89">
        <w:trPr>
          <w:trHeight w:val="300"/>
        </w:trPr>
        <w:tc>
          <w:tcPr>
            <w:tcW w:w="0" w:type="auto"/>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549,264</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625,429</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615,370</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640,804</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656,512</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773,823</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767,547</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829,459</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862,741</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1,034,169</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983,887</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974,960</w:t>
            </w:r>
          </w:p>
        </w:tc>
      </w:tr>
      <w:tr w:rsidR="009C4D68" w:rsidRPr="009C4D68" w:rsidTr="00DC4E89">
        <w:trPr>
          <w:trHeight w:val="300"/>
        </w:trPr>
        <w:tc>
          <w:tcPr>
            <w:tcW w:w="0" w:type="auto"/>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11,529</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13,975</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14,022</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13,486</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15,226</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19,084</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18,203</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17,572</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21,841</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27,213</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26,503</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25,174</w:t>
            </w:r>
          </w:p>
        </w:tc>
      </w:tr>
      <w:tr w:rsidR="009C4D68" w:rsidRPr="009C4D68" w:rsidTr="00DC4E89">
        <w:trPr>
          <w:trHeight w:val="300"/>
        </w:trPr>
        <w:tc>
          <w:tcPr>
            <w:tcW w:w="0" w:type="auto"/>
            <w:tcBorders>
              <w:top w:val="nil"/>
              <w:left w:val="single" w:sz="4" w:space="0" w:color="auto"/>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2.10%</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2.23%</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2.28%</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2.10%</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2.32%</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2.47%</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2.37%</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2.12%</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2.53%</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2.63%</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2.69%</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2.58%</w:t>
            </w:r>
          </w:p>
        </w:tc>
      </w:tr>
    </w:tbl>
    <w:p w:rsidR="009C4D68" w:rsidRPr="009C4D68" w:rsidRDefault="009C4D68" w:rsidP="009C4D68">
      <w:pPr>
        <w:spacing w:after="0"/>
        <w:rPr>
          <w:sz w:val="10"/>
          <w:lang w:val="es-AR"/>
        </w:rPr>
      </w:pPr>
    </w:p>
    <w:tbl>
      <w:tblPr>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9C4D68" w:rsidRPr="009C4D68" w:rsidTr="00DC4E8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2009</w:t>
            </w:r>
          </w:p>
        </w:tc>
        <w:tc>
          <w:tcPr>
            <w:tcW w:w="0" w:type="auto"/>
            <w:gridSpan w:val="4"/>
            <w:tcBorders>
              <w:top w:val="single" w:sz="4" w:space="0" w:color="auto"/>
              <w:left w:val="nil"/>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2010</w:t>
            </w:r>
          </w:p>
        </w:tc>
        <w:tc>
          <w:tcPr>
            <w:tcW w:w="0" w:type="auto"/>
            <w:gridSpan w:val="4"/>
            <w:tcBorders>
              <w:top w:val="single" w:sz="4" w:space="0" w:color="auto"/>
              <w:left w:val="nil"/>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2011</w:t>
            </w:r>
          </w:p>
        </w:tc>
      </w:tr>
      <w:tr w:rsidR="009C4D68" w:rsidRPr="009C4D68" w:rsidTr="00DC4E89">
        <w:trPr>
          <w:trHeight w:val="300"/>
        </w:trPr>
        <w:tc>
          <w:tcPr>
            <w:tcW w:w="0" w:type="auto"/>
            <w:tcBorders>
              <w:top w:val="nil"/>
              <w:left w:val="single" w:sz="4" w:space="0" w:color="auto"/>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r>
      <w:tr w:rsidR="009C4D68" w:rsidRPr="009C4D68" w:rsidTr="00DC4E89">
        <w:trPr>
          <w:trHeight w:val="300"/>
        </w:trPr>
        <w:tc>
          <w:tcPr>
            <w:tcW w:w="0" w:type="auto"/>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929,912</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1,052,936</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1,065,452</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1,137,944</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1,194,985</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1,424,797</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1,426,577</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1,529,455</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1,585,100</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1,897,119</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1,881,959</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1,959,376</w:t>
            </w:r>
          </w:p>
        </w:tc>
      </w:tr>
      <w:tr w:rsidR="009C4D68" w:rsidRPr="009C4D68" w:rsidTr="00DC4E89">
        <w:trPr>
          <w:trHeight w:val="300"/>
        </w:trPr>
        <w:tc>
          <w:tcPr>
            <w:tcW w:w="0" w:type="auto"/>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29,100</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37,221</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35,769</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33,607</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39,064</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49,769</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48,363</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45,406</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53,232</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67,695</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70,274</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67,943</w:t>
            </w:r>
          </w:p>
        </w:tc>
      </w:tr>
      <w:tr w:rsidR="009C4D68" w:rsidRPr="009C4D68" w:rsidTr="00DC4E89">
        <w:trPr>
          <w:trHeight w:val="300"/>
        </w:trPr>
        <w:tc>
          <w:tcPr>
            <w:tcW w:w="0" w:type="auto"/>
            <w:tcBorders>
              <w:top w:val="nil"/>
              <w:left w:val="single" w:sz="4" w:space="0" w:color="auto"/>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3.13%</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3.53%</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3.36%</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2.95%</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3.27%</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3.49%</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3.39%</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2.97%</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3.36%</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3.57%</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3.73%</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3.47%</w:t>
            </w:r>
          </w:p>
        </w:tc>
      </w:tr>
    </w:tbl>
    <w:p w:rsidR="009C4D68" w:rsidRPr="009C4D68" w:rsidRDefault="009C4D68" w:rsidP="009C4D68">
      <w:pPr>
        <w:spacing w:after="0"/>
        <w:rPr>
          <w:sz w:val="10"/>
          <w:lang w:val="es-AR"/>
        </w:rPr>
      </w:pPr>
    </w:p>
    <w:tbl>
      <w:tblPr>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9C4D68" w:rsidRPr="009C4D68" w:rsidTr="00DC4E8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2012</w:t>
            </w:r>
          </w:p>
        </w:tc>
        <w:tc>
          <w:tcPr>
            <w:tcW w:w="0" w:type="auto"/>
            <w:gridSpan w:val="4"/>
            <w:tcBorders>
              <w:top w:val="single" w:sz="4" w:space="0" w:color="auto"/>
              <w:left w:val="nil"/>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2013</w:t>
            </w:r>
          </w:p>
        </w:tc>
        <w:tc>
          <w:tcPr>
            <w:tcW w:w="0" w:type="auto"/>
            <w:gridSpan w:val="4"/>
            <w:tcBorders>
              <w:top w:val="single" w:sz="4" w:space="0" w:color="auto"/>
              <w:left w:val="nil"/>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2014</w:t>
            </w:r>
          </w:p>
        </w:tc>
      </w:tr>
      <w:tr w:rsidR="009C4D68" w:rsidRPr="009C4D68" w:rsidTr="00DC4E89">
        <w:trPr>
          <w:trHeight w:val="300"/>
        </w:trPr>
        <w:tc>
          <w:tcPr>
            <w:tcW w:w="0" w:type="auto"/>
            <w:tcBorders>
              <w:top w:val="nil"/>
              <w:left w:val="single" w:sz="4" w:space="0" w:color="auto"/>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r>
      <w:tr w:rsidR="009C4D68" w:rsidRPr="009C4D68" w:rsidTr="00DC4E89">
        <w:trPr>
          <w:trHeight w:val="300"/>
        </w:trPr>
        <w:tc>
          <w:tcPr>
            <w:tcW w:w="0" w:type="auto"/>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1,962,831</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2,243,889</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2,259,016</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2,383,822</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2,426,496</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2,860,490</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2,858,376</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3,101,995</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3,268,448</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3,989,521</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3,932,503</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4,182,553</w:t>
            </w:r>
          </w:p>
        </w:tc>
      </w:tr>
      <w:tr w:rsidR="009C4D68" w:rsidRPr="009C4D68" w:rsidTr="00DC4E89">
        <w:trPr>
          <w:trHeight w:val="300"/>
        </w:trPr>
        <w:tc>
          <w:tcPr>
            <w:tcW w:w="0" w:type="auto"/>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77,132</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83,631</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91,563</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97,859</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93,140</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111,582</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120,800</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130,756</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121,338</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147,442</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166,728</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185,571</w:t>
            </w:r>
          </w:p>
        </w:tc>
      </w:tr>
      <w:tr w:rsidR="009C4D68" w:rsidRPr="009C4D68" w:rsidTr="00DC4E89">
        <w:trPr>
          <w:trHeight w:val="300"/>
        </w:trPr>
        <w:tc>
          <w:tcPr>
            <w:tcW w:w="0" w:type="auto"/>
            <w:tcBorders>
              <w:top w:val="nil"/>
              <w:left w:val="single" w:sz="4" w:space="0" w:color="auto"/>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3.93%</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3.73%</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4.05%</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4.11%</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3.84%</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3.90%</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4.23%</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4.22%</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3.71%</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3.70%</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4.24%</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4.44%</w:t>
            </w:r>
          </w:p>
        </w:tc>
      </w:tr>
    </w:tbl>
    <w:p w:rsidR="009C4D68" w:rsidRPr="009C4D68" w:rsidRDefault="009C4D68" w:rsidP="009C4D68">
      <w:pPr>
        <w:spacing w:after="0"/>
        <w:rPr>
          <w:sz w:val="10"/>
          <w:lang w:val="es-AR"/>
        </w:rPr>
      </w:pPr>
    </w:p>
    <w:tbl>
      <w:tblPr>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9C4D68" w:rsidRPr="009C4D68" w:rsidTr="00DC4E8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2015</w:t>
            </w:r>
          </w:p>
        </w:tc>
        <w:tc>
          <w:tcPr>
            <w:tcW w:w="0" w:type="auto"/>
            <w:gridSpan w:val="4"/>
            <w:tcBorders>
              <w:top w:val="single" w:sz="4" w:space="0" w:color="auto"/>
              <w:left w:val="nil"/>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2016</w:t>
            </w:r>
          </w:p>
        </w:tc>
        <w:tc>
          <w:tcPr>
            <w:tcW w:w="0" w:type="auto"/>
            <w:gridSpan w:val="4"/>
            <w:tcBorders>
              <w:top w:val="single" w:sz="4" w:space="0" w:color="auto"/>
              <w:left w:val="nil"/>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2017 (</w:t>
            </w:r>
            <w:r w:rsidRPr="009C4D68">
              <w:rPr>
                <w:rFonts w:ascii="Arial" w:eastAsia="Times New Roman" w:hAnsi="Arial" w:cs="Arial"/>
                <w:sz w:val="16"/>
                <w:szCs w:val="16"/>
                <w:vertAlign w:val="superscript"/>
              </w:rPr>
              <w:t>1</w:t>
            </w:r>
            <w:r w:rsidRPr="009C4D68">
              <w:rPr>
                <w:rFonts w:ascii="Arial" w:eastAsia="Times New Roman" w:hAnsi="Arial" w:cs="Arial"/>
                <w:sz w:val="16"/>
                <w:szCs w:val="16"/>
              </w:rPr>
              <w:t>)</w:t>
            </w:r>
          </w:p>
        </w:tc>
      </w:tr>
      <w:tr w:rsidR="009C4D68" w:rsidRPr="009C4D68" w:rsidTr="00DC4E89">
        <w:trPr>
          <w:trHeight w:val="300"/>
        </w:trPr>
        <w:tc>
          <w:tcPr>
            <w:tcW w:w="0" w:type="auto"/>
            <w:tcBorders>
              <w:top w:val="nil"/>
              <w:left w:val="single" w:sz="4" w:space="0" w:color="auto"/>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r>
      <w:tr w:rsidR="009C4D68" w:rsidRPr="009C4D68" w:rsidTr="00DC4E89">
        <w:trPr>
          <w:trHeight w:val="300"/>
        </w:trPr>
        <w:tc>
          <w:tcPr>
            <w:tcW w:w="0" w:type="auto"/>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4,274,443</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5,016,966</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5,226,641</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5,518,794</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5,886,895</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7,143,104</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7,191,207</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7,570,524</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7,765,459</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8,978,147</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9,301,027</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9,856,051</w:t>
            </w:r>
          </w:p>
        </w:tc>
      </w:tr>
      <w:tr w:rsidR="009C4D68" w:rsidRPr="009C4D68" w:rsidTr="00DC4E89">
        <w:trPr>
          <w:trHeight w:val="300"/>
        </w:trPr>
        <w:tc>
          <w:tcPr>
            <w:tcW w:w="0" w:type="auto"/>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185,844</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222,160</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215,323</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218,698</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254,981</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323,125</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324,044</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317,440</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361,750</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429,936</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424,625</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411,041</w:t>
            </w:r>
          </w:p>
        </w:tc>
      </w:tr>
      <w:tr w:rsidR="009C4D68" w:rsidRPr="009C4D68" w:rsidTr="00DC4E89">
        <w:trPr>
          <w:trHeight w:val="300"/>
        </w:trPr>
        <w:tc>
          <w:tcPr>
            <w:tcW w:w="0" w:type="auto"/>
            <w:tcBorders>
              <w:top w:val="nil"/>
              <w:left w:val="single" w:sz="4" w:space="0" w:color="auto"/>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4.35%</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4.43%</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4.12%</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3.96%</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4.33%</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4.52%</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4.51%</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4.19%</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4.66%</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4.79%</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4.57%</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4.17%</w:t>
            </w:r>
          </w:p>
        </w:tc>
      </w:tr>
    </w:tbl>
    <w:p w:rsidR="009C4D68" w:rsidRPr="009C4D68" w:rsidRDefault="009C4D68" w:rsidP="009C4D68">
      <w:pPr>
        <w:spacing w:after="0"/>
        <w:rPr>
          <w:sz w:val="10"/>
          <w:lang w:val="es-AR"/>
        </w:rPr>
      </w:pPr>
    </w:p>
    <w:tbl>
      <w:tblPr>
        <w:tblW w:w="0" w:type="auto"/>
        <w:tblLook w:val="04A0" w:firstRow="1" w:lastRow="0" w:firstColumn="1" w:lastColumn="0" w:noHBand="0" w:noVBand="1"/>
      </w:tblPr>
      <w:tblGrid>
        <w:gridCol w:w="1031"/>
        <w:gridCol w:w="1031"/>
        <w:gridCol w:w="1031"/>
        <w:gridCol w:w="1031"/>
        <w:gridCol w:w="1031"/>
        <w:gridCol w:w="1031"/>
      </w:tblGrid>
      <w:tr w:rsidR="009C4D68" w:rsidRPr="009C4D68" w:rsidTr="00DC4E8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2018 (</w:t>
            </w:r>
            <w:r w:rsidRPr="009C4D68">
              <w:rPr>
                <w:rFonts w:ascii="Arial" w:eastAsia="Times New Roman" w:hAnsi="Arial" w:cs="Arial"/>
                <w:sz w:val="16"/>
                <w:szCs w:val="16"/>
                <w:vertAlign w:val="superscript"/>
              </w:rPr>
              <w:t>2</w:t>
            </w:r>
            <w:r w:rsidRPr="009C4D68">
              <w:rPr>
                <w:rFonts w:ascii="Arial" w:eastAsia="Times New Roman" w:hAnsi="Arial" w:cs="Arial"/>
                <w:sz w:val="16"/>
                <w:szCs w:val="16"/>
              </w:rPr>
              <w:t>)</w:t>
            </w:r>
          </w:p>
        </w:tc>
        <w:tc>
          <w:tcPr>
            <w:tcW w:w="0" w:type="auto"/>
            <w:gridSpan w:val="2"/>
            <w:tcBorders>
              <w:top w:val="single" w:sz="4" w:space="0" w:color="auto"/>
              <w:left w:val="nil"/>
              <w:bottom w:val="single" w:sz="4" w:space="0" w:color="auto"/>
              <w:right w:val="single" w:sz="4" w:space="0" w:color="000000"/>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2019 (</w:t>
            </w:r>
            <w:r w:rsidRPr="009C4D68">
              <w:rPr>
                <w:rFonts w:ascii="Arial" w:eastAsia="Times New Roman" w:hAnsi="Arial" w:cs="Arial"/>
                <w:sz w:val="16"/>
                <w:szCs w:val="16"/>
                <w:vertAlign w:val="superscript"/>
              </w:rPr>
              <w:t>2</w:t>
            </w:r>
            <w:r w:rsidRPr="009C4D68">
              <w:rPr>
                <w:rFonts w:ascii="Arial" w:eastAsia="Times New Roman" w:hAnsi="Arial" w:cs="Arial"/>
                <w:sz w:val="16"/>
                <w:szCs w:val="16"/>
              </w:rPr>
              <w:t>)</w:t>
            </w:r>
          </w:p>
        </w:tc>
      </w:tr>
      <w:tr w:rsidR="009C4D68" w:rsidRPr="009C4D68" w:rsidTr="00DC4E89">
        <w:trPr>
          <w:trHeight w:val="300"/>
        </w:trPr>
        <w:tc>
          <w:tcPr>
            <w:tcW w:w="0" w:type="auto"/>
            <w:tcBorders>
              <w:top w:val="nil"/>
              <w:left w:val="single" w:sz="4" w:space="0" w:color="auto"/>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3º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4º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1º </w:t>
            </w:r>
            <w:proofErr w:type="spellStart"/>
            <w:r w:rsidRPr="009C4D68">
              <w:rPr>
                <w:rFonts w:ascii="Arial" w:eastAsia="Times New Roman" w:hAnsi="Arial" w:cs="Arial"/>
                <w:sz w:val="16"/>
                <w:szCs w:val="16"/>
              </w:rPr>
              <w:t>trimestre</w:t>
            </w:r>
            <w:proofErr w:type="spellEnd"/>
          </w:p>
        </w:tc>
        <w:tc>
          <w:tcPr>
            <w:tcW w:w="0" w:type="auto"/>
            <w:tcBorders>
              <w:top w:val="nil"/>
              <w:left w:val="nil"/>
              <w:bottom w:val="single" w:sz="4" w:space="0" w:color="auto"/>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 xml:space="preserve">2º </w:t>
            </w:r>
            <w:proofErr w:type="spellStart"/>
            <w:r w:rsidRPr="009C4D68">
              <w:rPr>
                <w:rFonts w:ascii="Arial" w:eastAsia="Times New Roman" w:hAnsi="Arial" w:cs="Arial"/>
                <w:sz w:val="16"/>
                <w:szCs w:val="16"/>
              </w:rPr>
              <w:t>trimestre</w:t>
            </w:r>
            <w:proofErr w:type="spellEnd"/>
          </w:p>
        </w:tc>
      </w:tr>
      <w:tr w:rsidR="009C4D68" w:rsidRPr="009C4D68" w:rsidTr="00DC4E89">
        <w:trPr>
          <w:trHeight w:val="300"/>
        </w:trPr>
        <w:tc>
          <w:tcPr>
            <w:tcW w:w="0" w:type="auto"/>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10,334,185</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12,044,587</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12,717,964</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14,299,333</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14,799,380</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b/>
                <w:bCs/>
                <w:sz w:val="16"/>
                <w:szCs w:val="16"/>
              </w:rPr>
            </w:pPr>
            <w:r w:rsidRPr="009C4D68">
              <w:rPr>
                <w:rFonts w:ascii="Arial" w:eastAsia="Times New Roman" w:hAnsi="Arial" w:cs="Arial"/>
                <w:b/>
                <w:bCs/>
                <w:sz w:val="16"/>
                <w:szCs w:val="16"/>
              </w:rPr>
              <w:t>18,270,959</w:t>
            </w:r>
          </w:p>
        </w:tc>
      </w:tr>
      <w:tr w:rsidR="009C4D68" w:rsidRPr="009C4D68" w:rsidTr="00DC4E89">
        <w:trPr>
          <w:trHeight w:val="300"/>
        </w:trPr>
        <w:tc>
          <w:tcPr>
            <w:tcW w:w="0" w:type="auto"/>
            <w:tcBorders>
              <w:top w:val="nil"/>
              <w:left w:val="single" w:sz="4" w:space="0" w:color="auto"/>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467,274</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561,235</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569,309</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600,539</w:t>
            </w:r>
          </w:p>
        </w:tc>
        <w:tc>
          <w:tcPr>
            <w:tcW w:w="0" w:type="auto"/>
            <w:tcBorders>
              <w:top w:val="nil"/>
              <w:left w:val="nil"/>
              <w:bottom w:val="nil"/>
              <w:right w:val="nil"/>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648,438</w:t>
            </w:r>
          </w:p>
        </w:tc>
        <w:tc>
          <w:tcPr>
            <w:tcW w:w="0" w:type="auto"/>
            <w:tcBorders>
              <w:top w:val="nil"/>
              <w:left w:val="nil"/>
              <w:bottom w:val="nil"/>
              <w:right w:val="single" w:sz="4" w:space="0" w:color="auto"/>
            </w:tcBorders>
            <w:shd w:val="clear" w:color="000000" w:fill="FFFFFF"/>
            <w:noWrap/>
            <w:vAlign w:val="center"/>
            <w:hideMark/>
          </w:tcPr>
          <w:p w:rsidR="009C4D68" w:rsidRPr="009C4D68" w:rsidRDefault="009C4D68" w:rsidP="00DC4E89">
            <w:pPr>
              <w:spacing w:after="0" w:line="240" w:lineRule="auto"/>
              <w:jc w:val="center"/>
              <w:rPr>
                <w:rFonts w:ascii="Arial" w:eastAsia="Times New Roman" w:hAnsi="Arial" w:cs="Arial"/>
                <w:sz w:val="16"/>
                <w:szCs w:val="16"/>
              </w:rPr>
            </w:pPr>
            <w:r w:rsidRPr="009C4D68">
              <w:rPr>
                <w:rFonts w:ascii="Arial" w:eastAsia="Times New Roman" w:hAnsi="Arial" w:cs="Arial"/>
                <w:sz w:val="16"/>
                <w:szCs w:val="16"/>
              </w:rPr>
              <w:t>812,766</w:t>
            </w:r>
          </w:p>
        </w:tc>
      </w:tr>
      <w:tr w:rsidR="009C4D68" w:rsidRPr="009C4D68" w:rsidTr="00DC4E89">
        <w:trPr>
          <w:trHeight w:val="300"/>
        </w:trPr>
        <w:tc>
          <w:tcPr>
            <w:tcW w:w="0" w:type="auto"/>
            <w:tcBorders>
              <w:top w:val="nil"/>
              <w:left w:val="single" w:sz="4" w:space="0" w:color="auto"/>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4.52%</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4.66%</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4.48%</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4.20%</w:t>
            </w:r>
          </w:p>
        </w:tc>
        <w:tc>
          <w:tcPr>
            <w:tcW w:w="0" w:type="auto"/>
            <w:tcBorders>
              <w:top w:val="nil"/>
              <w:left w:val="nil"/>
              <w:bottom w:val="single" w:sz="4" w:space="0" w:color="auto"/>
              <w:right w:val="nil"/>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4.38%</w:t>
            </w:r>
          </w:p>
        </w:tc>
        <w:tc>
          <w:tcPr>
            <w:tcW w:w="0" w:type="auto"/>
            <w:tcBorders>
              <w:top w:val="nil"/>
              <w:left w:val="nil"/>
              <w:bottom w:val="single" w:sz="4" w:space="0" w:color="auto"/>
              <w:right w:val="single" w:sz="4" w:space="0" w:color="auto"/>
            </w:tcBorders>
            <w:shd w:val="clear" w:color="auto" w:fill="auto"/>
            <w:noWrap/>
            <w:vAlign w:val="center"/>
            <w:hideMark/>
          </w:tcPr>
          <w:p w:rsidR="009C4D68" w:rsidRPr="009C4D68" w:rsidRDefault="009C4D68" w:rsidP="00DC4E89">
            <w:pPr>
              <w:spacing w:after="0" w:line="240" w:lineRule="auto"/>
              <w:jc w:val="center"/>
              <w:rPr>
                <w:rFonts w:ascii="Calibri" w:eastAsia="Times New Roman" w:hAnsi="Calibri" w:cs="Calibri"/>
                <w:color w:val="000000"/>
              </w:rPr>
            </w:pPr>
            <w:r w:rsidRPr="009C4D68">
              <w:rPr>
                <w:rFonts w:ascii="Calibri" w:eastAsia="Times New Roman" w:hAnsi="Calibri" w:cs="Calibri"/>
                <w:color w:val="000000"/>
              </w:rPr>
              <w:t>4.45%</w:t>
            </w:r>
          </w:p>
        </w:tc>
        <w:bookmarkStart w:id="9" w:name="_GoBack"/>
        <w:bookmarkEnd w:id="9"/>
      </w:tr>
    </w:tbl>
    <w:p w:rsidR="009C4D68" w:rsidRDefault="009C4D68" w:rsidP="009C4D68">
      <w:pPr>
        <w:spacing w:after="0"/>
        <w:rPr>
          <w:lang w:val="es-AR"/>
        </w:rPr>
      </w:pPr>
    </w:p>
    <w:p w:rsidR="00F2763F" w:rsidRPr="00EF628B" w:rsidRDefault="00F2763F" w:rsidP="00EF628B">
      <w:pPr>
        <w:rPr>
          <w:lang w:val="es-AR"/>
        </w:rPr>
      </w:pPr>
      <w:r w:rsidRPr="00EF628B">
        <w:rPr>
          <w:lang w:val="es-AR"/>
        </w:rPr>
        <w:br w:type="page"/>
      </w:r>
    </w:p>
    <w:p w:rsidR="00334C89" w:rsidRDefault="00334C89" w:rsidP="00334C89">
      <w:pPr>
        <w:pStyle w:val="Heading1"/>
        <w:rPr>
          <w:lang w:val="es-AR"/>
        </w:rPr>
      </w:pPr>
      <w:bookmarkStart w:id="10" w:name="_Toc24824775"/>
      <w:r>
        <w:rPr>
          <w:lang w:val="es-AR"/>
        </w:rPr>
        <w:lastRenderedPageBreak/>
        <w:t>Fuentes consultadas</w:t>
      </w:r>
      <w:bookmarkEnd w:id="10"/>
    </w:p>
    <w:p w:rsidR="00F83AAE" w:rsidRPr="00F83AAE" w:rsidRDefault="00F83AAE" w:rsidP="00334C89">
      <w:pPr>
        <w:pStyle w:val="ListParagraph"/>
        <w:numPr>
          <w:ilvl w:val="0"/>
          <w:numId w:val="1"/>
        </w:numPr>
        <w:rPr>
          <w:lang w:val="es-AR"/>
        </w:rPr>
      </w:pPr>
      <w:hyperlink r:id="rId9" w:history="1">
        <w:r w:rsidRPr="00F83AAE">
          <w:rPr>
            <w:rStyle w:val="Hyperlink"/>
            <w:lang w:val="es-AR"/>
          </w:rPr>
          <w:t>https://www.clarin.com/empresas-y-negocios/salud-privada-sociales-medicina-argentina_0_BkuKyak0DQl.html</w:t>
        </w:r>
      </w:hyperlink>
    </w:p>
    <w:p w:rsidR="00EA7482" w:rsidRPr="007F5A16" w:rsidRDefault="00EA7482" w:rsidP="00334C89">
      <w:pPr>
        <w:pStyle w:val="ListParagraph"/>
        <w:numPr>
          <w:ilvl w:val="0"/>
          <w:numId w:val="1"/>
        </w:numPr>
        <w:rPr>
          <w:lang w:val="es-AR"/>
        </w:rPr>
      </w:pPr>
      <w:hyperlink r:id="rId10" w:history="1">
        <w:r w:rsidRPr="007F5A16">
          <w:rPr>
            <w:rStyle w:val="Hyperlink"/>
            <w:lang w:val="es-AR"/>
          </w:rPr>
          <w:t>http://www.indec.gob.ar/ftp/cuadros/economia/sh_VBP_VAB_09_19.xls</w:t>
        </w:r>
      </w:hyperlink>
    </w:p>
    <w:p w:rsidR="00334C89" w:rsidRPr="00334C89" w:rsidRDefault="00334C89" w:rsidP="00334C89">
      <w:pPr>
        <w:pStyle w:val="ListParagraph"/>
        <w:numPr>
          <w:ilvl w:val="0"/>
          <w:numId w:val="1"/>
        </w:numPr>
        <w:rPr>
          <w:lang w:val="es-AR"/>
        </w:rPr>
      </w:pPr>
      <w:hyperlink r:id="rId11" w:history="1">
        <w:r w:rsidRPr="00334C89">
          <w:rPr>
            <w:rStyle w:val="Hyperlink"/>
            <w:lang w:val="es-AR"/>
          </w:rPr>
          <w:t>https://www.cronista.com/especiales/La-salud-privada-al-borde-del-colapso-por-la-devaluacion-y-los-costos-en-dolares-20191010-0055.html</w:t>
        </w:r>
      </w:hyperlink>
    </w:p>
    <w:p w:rsidR="00334C89" w:rsidRPr="00EA7482" w:rsidRDefault="00334C89" w:rsidP="00334C89">
      <w:pPr>
        <w:pStyle w:val="ListParagraph"/>
        <w:numPr>
          <w:ilvl w:val="0"/>
          <w:numId w:val="1"/>
        </w:numPr>
        <w:rPr>
          <w:lang w:val="es-AR"/>
        </w:rPr>
      </w:pPr>
      <w:hyperlink r:id="rId12" w:history="1">
        <w:r w:rsidRPr="00334C89">
          <w:rPr>
            <w:rStyle w:val="Hyperlink"/>
            <w:lang w:val="es-AR"/>
          </w:rPr>
          <w:t>https://www.cronista.com/pyme/innovacion/Emprender-en-salud-inversiones-riesgos-y-potencial-de-ganancias-20190103-0001.html</w:t>
        </w:r>
      </w:hyperlink>
    </w:p>
    <w:p w:rsidR="00EA7482" w:rsidRPr="009C4D68" w:rsidRDefault="00EA7482" w:rsidP="009C4D68">
      <w:pPr>
        <w:pStyle w:val="ListParagraph"/>
        <w:numPr>
          <w:ilvl w:val="0"/>
          <w:numId w:val="1"/>
        </w:numPr>
        <w:rPr>
          <w:lang w:val="es-AR"/>
        </w:rPr>
      </w:pPr>
      <w:hyperlink r:id="rId13" w:history="1">
        <w:r w:rsidRPr="00EA7482">
          <w:rPr>
            <w:rStyle w:val="Hyperlink"/>
            <w:lang w:val="es-AR"/>
          </w:rPr>
          <w:t>https://www.adecra.org.ar/wp-content/uploads/2019/05/INFORME-ECONOMICO-16-Mayo-2019.pdf</w:t>
        </w:r>
      </w:hyperlink>
    </w:p>
    <w:sectPr w:rsidR="00EA7482" w:rsidRPr="009C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E7644"/>
    <w:multiLevelType w:val="hybridMultilevel"/>
    <w:tmpl w:val="DEE8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82C"/>
    <w:rsid w:val="0016107D"/>
    <w:rsid w:val="001613E8"/>
    <w:rsid w:val="00184383"/>
    <w:rsid w:val="001E7D34"/>
    <w:rsid w:val="001F682C"/>
    <w:rsid w:val="00201C61"/>
    <w:rsid w:val="00213CBB"/>
    <w:rsid w:val="00282C8C"/>
    <w:rsid w:val="00334779"/>
    <w:rsid w:val="00334C89"/>
    <w:rsid w:val="003414EB"/>
    <w:rsid w:val="00347039"/>
    <w:rsid w:val="003C6458"/>
    <w:rsid w:val="004573D5"/>
    <w:rsid w:val="00465DD4"/>
    <w:rsid w:val="004926BD"/>
    <w:rsid w:val="004D7C81"/>
    <w:rsid w:val="0056634E"/>
    <w:rsid w:val="005926E9"/>
    <w:rsid w:val="005A3D7E"/>
    <w:rsid w:val="005A7F46"/>
    <w:rsid w:val="005F7607"/>
    <w:rsid w:val="006B0068"/>
    <w:rsid w:val="006E7173"/>
    <w:rsid w:val="00723136"/>
    <w:rsid w:val="0077130E"/>
    <w:rsid w:val="0078647B"/>
    <w:rsid w:val="007A334D"/>
    <w:rsid w:val="007C7C1A"/>
    <w:rsid w:val="007C7E47"/>
    <w:rsid w:val="007F5A16"/>
    <w:rsid w:val="0087160C"/>
    <w:rsid w:val="00894D98"/>
    <w:rsid w:val="0099233F"/>
    <w:rsid w:val="009C4D68"/>
    <w:rsid w:val="00A07BC9"/>
    <w:rsid w:val="00A31328"/>
    <w:rsid w:val="00AA6965"/>
    <w:rsid w:val="00AB132A"/>
    <w:rsid w:val="00B0678E"/>
    <w:rsid w:val="00B339F0"/>
    <w:rsid w:val="00BC0A69"/>
    <w:rsid w:val="00BE4D1D"/>
    <w:rsid w:val="00C063C9"/>
    <w:rsid w:val="00D655DD"/>
    <w:rsid w:val="00DC4E89"/>
    <w:rsid w:val="00E81C77"/>
    <w:rsid w:val="00EA7482"/>
    <w:rsid w:val="00ED3379"/>
    <w:rsid w:val="00EF628B"/>
    <w:rsid w:val="00F2763F"/>
    <w:rsid w:val="00F83AAE"/>
    <w:rsid w:val="00FD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5CBC"/>
  <w15:chartTrackingRefBased/>
  <w15:docId w15:val="{1664BED5-3AAE-4809-814F-837C91CF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4"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4"/>
    <w:qFormat/>
    <w:rsid w:val="004573D5"/>
  </w:style>
  <w:style w:type="paragraph" w:styleId="Heading1">
    <w:name w:val="heading 1"/>
    <w:basedOn w:val="Normal"/>
    <w:next w:val="Normal"/>
    <w:link w:val="Heading1Char"/>
    <w:uiPriority w:val="1"/>
    <w:qFormat/>
    <w:rsid w:val="004573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4573D5"/>
    <w:pPr>
      <w:keepNext/>
      <w:keepLines/>
      <w:tabs>
        <w:tab w:val="left" w:pos="284"/>
      </w:tab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4573D5"/>
    <w:pPr>
      <w:keepNext/>
      <w:keepLines/>
      <w:tabs>
        <w:tab w:val="left" w:pos="425"/>
      </w:tab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unhideWhenUsed/>
    <w:qFormat/>
    <w:rsid w:val="004573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jstyle">
    <w:name w:val="moj style"/>
    <w:link w:val="mojstyleChar"/>
    <w:qFormat/>
    <w:rsid w:val="004573D5"/>
    <w:pPr>
      <w:spacing w:before="100" w:beforeAutospacing="1" w:after="100" w:afterAutospacing="1" w:line="360" w:lineRule="auto"/>
      <w:ind w:firstLine="720"/>
      <w:contextualSpacing/>
      <w:jc w:val="both"/>
    </w:pPr>
    <w:rPr>
      <w:rFonts w:ascii="Times New Roman" w:hAnsi="Times New Roman" w:cs="Times New Roman"/>
      <w:sz w:val="24"/>
      <w:lang w:val="es-AR"/>
    </w:rPr>
  </w:style>
  <w:style w:type="character" w:customStyle="1" w:styleId="mojstyleChar">
    <w:name w:val="moj style Char"/>
    <w:basedOn w:val="DefaultParagraphFont"/>
    <w:link w:val="mojstyle"/>
    <w:rsid w:val="004573D5"/>
    <w:rPr>
      <w:rFonts w:ascii="Times New Roman" w:hAnsi="Times New Roman" w:cs="Times New Roman"/>
      <w:sz w:val="24"/>
      <w:lang w:val="es-AR"/>
    </w:rPr>
  </w:style>
  <w:style w:type="paragraph" w:customStyle="1" w:styleId="consigna">
    <w:name w:val="consigna"/>
    <w:link w:val="consignaChar"/>
    <w:qFormat/>
    <w:rsid w:val="004573D5"/>
    <w:pPr>
      <w:spacing w:line="360" w:lineRule="auto"/>
      <w:ind w:left="720"/>
      <w:jc w:val="both"/>
    </w:pPr>
    <w:rPr>
      <w:rFonts w:ascii="Times New Roman" w:hAnsi="Times New Roman" w:cs="Times New Roman"/>
      <w:i/>
      <w:sz w:val="24"/>
      <w:lang w:val="es-AR"/>
    </w:rPr>
  </w:style>
  <w:style w:type="character" w:customStyle="1" w:styleId="consignaChar">
    <w:name w:val="consigna Char"/>
    <w:basedOn w:val="DefaultParagraphFont"/>
    <w:link w:val="consigna"/>
    <w:rsid w:val="004573D5"/>
    <w:rPr>
      <w:rFonts w:ascii="Times New Roman" w:hAnsi="Times New Roman" w:cs="Times New Roman"/>
      <w:i/>
      <w:sz w:val="24"/>
      <w:lang w:val="es-AR"/>
    </w:rPr>
  </w:style>
  <w:style w:type="character" w:customStyle="1" w:styleId="Heading1Char">
    <w:name w:val="Heading 1 Char"/>
    <w:basedOn w:val="DefaultParagraphFont"/>
    <w:link w:val="Heading1"/>
    <w:uiPriority w:val="1"/>
    <w:rsid w:val="004573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4573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4573D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4573D5"/>
    <w:pPr>
      <w:spacing w:after="100"/>
    </w:pPr>
  </w:style>
  <w:style w:type="paragraph" w:styleId="TOC2">
    <w:name w:val="toc 2"/>
    <w:basedOn w:val="Normal"/>
    <w:next w:val="Normal"/>
    <w:autoRedefine/>
    <w:uiPriority w:val="39"/>
    <w:unhideWhenUsed/>
    <w:rsid w:val="004573D5"/>
    <w:pPr>
      <w:spacing w:after="100"/>
      <w:ind w:left="220"/>
    </w:pPr>
  </w:style>
  <w:style w:type="paragraph" w:styleId="TOC3">
    <w:name w:val="toc 3"/>
    <w:basedOn w:val="Normal"/>
    <w:next w:val="Normal"/>
    <w:autoRedefine/>
    <w:uiPriority w:val="39"/>
    <w:unhideWhenUsed/>
    <w:rsid w:val="004573D5"/>
    <w:pPr>
      <w:spacing w:after="100"/>
      <w:ind w:left="440"/>
    </w:pPr>
  </w:style>
  <w:style w:type="paragraph" w:styleId="CommentText">
    <w:name w:val="annotation text"/>
    <w:basedOn w:val="Normal"/>
    <w:link w:val="CommentTextChar"/>
    <w:uiPriority w:val="99"/>
    <w:semiHidden/>
    <w:unhideWhenUsed/>
    <w:rsid w:val="004573D5"/>
    <w:pPr>
      <w:spacing w:line="240" w:lineRule="auto"/>
    </w:pPr>
    <w:rPr>
      <w:sz w:val="20"/>
      <w:szCs w:val="20"/>
    </w:rPr>
  </w:style>
  <w:style w:type="character" w:customStyle="1" w:styleId="CommentTextChar">
    <w:name w:val="Comment Text Char"/>
    <w:basedOn w:val="DefaultParagraphFont"/>
    <w:link w:val="CommentText"/>
    <w:uiPriority w:val="99"/>
    <w:semiHidden/>
    <w:rsid w:val="004573D5"/>
    <w:rPr>
      <w:sz w:val="20"/>
      <w:szCs w:val="20"/>
    </w:rPr>
  </w:style>
  <w:style w:type="paragraph" w:styleId="Caption">
    <w:name w:val="caption"/>
    <w:basedOn w:val="Normal"/>
    <w:next w:val="Normal"/>
    <w:uiPriority w:val="35"/>
    <w:unhideWhenUsed/>
    <w:qFormat/>
    <w:rsid w:val="004573D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573D5"/>
    <w:rPr>
      <w:sz w:val="16"/>
      <w:szCs w:val="16"/>
    </w:rPr>
  </w:style>
  <w:style w:type="character" w:styleId="Hyperlink">
    <w:name w:val="Hyperlink"/>
    <w:basedOn w:val="DefaultParagraphFont"/>
    <w:uiPriority w:val="99"/>
    <w:unhideWhenUsed/>
    <w:rsid w:val="004573D5"/>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4573D5"/>
    <w:rPr>
      <w:b/>
      <w:bCs/>
    </w:rPr>
  </w:style>
  <w:style w:type="character" w:customStyle="1" w:styleId="CommentSubjectChar">
    <w:name w:val="Comment Subject Char"/>
    <w:basedOn w:val="CommentTextChar"/>
    <w:link w:val="CommentSubject"/>
    <w:uiPriority w:val="99"/>
    <w:semiHidden/>
    <w:rsid w:val="004573D5"/>
    <w:rPr>
      <w:b/>
      <w:bCs/>
      <w:sz w:val="20"/>
      <w:szCs w:val="20"/>
    </w:rPr>
  </w:style>
  <w:style w:type="paragraph" w:styleId="BalloonText">
    <w:name w:val="Balloon Text"/>
    <w:basedOn w:val="Normal"/>
    <w:link w:val="BalloonTextChar"/>
    <w:uiPriority w:val="99"/>
    <w:semiHidden/>
    <w:unhideWhenUsed/>
    <w:rsid w:val="004573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3D5"/>
    <w:rPr>
      <w:rFonts w:ascii="Segoe UI" w:hAnsi="Segoe UI" w:cs="Segoe UI"/>
      <w:sz w:val="18"/>
      <w:szCs w:val="18"/>
    </w:rPr>
  </w:style>
  <w:style w:type="character" w:styleId="PlaceholderText">
    <w:name w:val="Placeholder Text"/>
    <w:basedOn w:val="DefaultParagraphFont"/>
    <w:uiPriority w:val="99"/>
    <w:semiHidden/>
    <w:rsid w:val="004573D5"/>
    <w:rPr>
      <w:color w:val="808080"/>
    </w:rPr>
  </w:style>
  <w:style w:type="paragraph" w:styleId="ListParagraph">
    <w:name w:val="List Paragraph"/>
    <w:basedOn w:val="Normal"/>
    <w:uiPriority w:val="34"/>
    <w:qFormat/>
    <w:rsid w:val="004573D5"/>
    <w:pPr>
      <w:ind w:left="720"/>
      <w:contextualSpacing/>
    </w:pPr>
    <w:rPr>
      <w:rFonts w:eastAsia="Times New Roman" w:cs="Times New Roman"/>
    </w:rPr>
  </w:style>
  <w:style w:type="paragraph" w:styleId="TOCHeading">
    <w:name w:val="TOC Heading"/>
    <w:basedOn w:val="Heading1"/>
    <w:next w:val="Normal"/>
    <w:uiPriority w:val="39"/>
    <w:unhideWhenUsed/>
    <w:qFormat/>
    <w:rsid w:val="004573D5"/>
    <w:pPr>
      <w:outlineLvl w:val="9"/>
    </w:pPr>
  </w:style>
  <w:style w:type="paragraph" w:customStyle="1" w:styleId="bodyText">
    <w:name w:val="bodyText"/>
    <w:link w:val="bodyTextChar"/>
    <w:qFormat/>
    <w:rsid w:val="004573D5"/>
    <w:pPr>
      <w:spacing w:line="360" w:lineRule="auto"/>
      <w:jc w:val="both"/>
    </w:pPr>
    <w:rPr>
      <w:rFonts w:ascii="Times New Roman" w:hAnsi="Times New Roman" w:cs="Times New Roman"/>
      <w:sz w:val="24"/>
      <w:lang w:val="es-AR"/>
    </w:rPr>
  </w:style>
  <w:style w:type="character" w:customStyle="1" w:styleId="bodyTextChar">
    <w:name w:val="bodyText Char"/>
    <w:basedOn w:val="DefaultParagraphFont"/>
    <w:link w:val="bodyText"/>
    <w:rsid w:val="004573D5"/>
    <w:rPr>
      <w:rFonts w:ascii="Times New Roman" w:hAnsi="Times New Roman" w:cs="Times New Roman"/>
      <w:sz w:val="24"/>
      <w:lang w:val="es-AR"/>
    </w:rPr>
  </w:style>
  <w:style w:type="character" w:customStyle="1" w:styleId="Heading4Char">
    <w:name w:val="Heading 4 Char"/>
    <w:basedOn w:val="DefaultParagraphFont"/>
    <w:link w:val="Heading4"/>
    <w:uiPriority w:val="2"/>
    <w:rsid w:val="004573D5"/>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4573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3D5"/>
    <w:rPr>
      <w:sz w:val="20"/>
      <w:szCs w:val="20"/>
    </w:rPr>
  </w:style>
  <w:style w:type="character" w:styleId="FootnoteReference">
    <w:name w:val="footnote reference"/>
    <w:basedOn w:val="DefaultParagraphFont"/>
    <w:uiPriority w:val="99"/>
    <w:semiHidden/>
    <w:unhideWhenUsed/>
    <w:rsid w:val="004573D5"/>
    <w:rPr>
      <w:vertAlign w:val="superscript"/>
    </w:rPr>
  </w:style>
  <w:style w:type="paragraph" w:styleId="Subtitle">
    <w:name w:val="Subtitle"/>
    <w:basedOn w:val="Normal"/>
    <w:next w:val="Normal"/>
    <w:link w:val="SubtitleChar"/>
    <w:uiPriority w:val="1"/>
    <w:qFormat/>
    <w:rsid w:val="004573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
    <w:rsid w:val="004573D5"/>
    <w:rPr>
      <w:rFonts w:eastAsiaTheme="minorEastAsia"/>
      <w:color w:val="5A5A5A" w:themeColor="text1" w:themeTint="A5"/>
      <w:spacing w:val="15"/>
    </w:rPr>
  </w:style>
  <w:style w:type="paragraph" w:styleId="NormalWeb">
    <w:name w:val="Normal (Web)"/>
    <w:basedOn w:val="Normal"/>
    <w:uiPriority w:val="99"/>
    <w:semiHidden/>
    <w:unhideWhenUsed/>
    <w:rsid w:val="00EF62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50518">
      <w:bodyDiv w:val="1"/>
      <w:marLeft w:val="0"/>
      <w:marRight w:val="0"/>
      <w:marTop w:val="0"/>
      <w:marBottom w:val="0"/>
      <w:divBdr>
        <w:top w:val="none" w:sz="0" w:space="0" w:color="auto"/>
        <w:left w:val="none" w:sz="0" w:space="0" w:color="auto"/>
        <w:bottom w:val="none" w:sz="0" w:space="0" w:color="auto"/>
        <w:right w:val="none" w:sz="0" w:space="0" w:color="auto"/>
      </w:divBdr>
    </w:div>
    <w:div w:id="152993431">
      <w:bodyDiv w:val="1"/>
      <w:marLeft w:val="0"/>
      <w:marRight w:val="0"/>
      <w:marTop w:val="0"/>
      <w:marBottom w:val="0"/>
      <w:divBdr>
        <w:top w:val="none" w:sz="0" w:space="0" w:color="auto"/>
        <w:left w:val="none" w:sz="0" w:space="0" w:color="auto"/>
        <w:bottom w:val="none" w:sz="0" w:space="0" w:color="auto"/>
        <w:right w:val="none" w:sz="0" w:space="0" w:color="auto"/>
      </w:divBdr>
    </w:div>
    <w:div w:id="159975262">
      <w:bodyDiv w:val="1"/>
      <w:marLeft w:val="0"/>
      <w:marRight w:val="0"/>
      <w:marTop w:val="0"/>
      <w:marBottom w:val="0"/>
      <w:divBdr>
        <w:top w:val="none" w:sz="0" w:space="0" w:color="auto"/>
        <w:left w:val="none" w:sz="0" w:space="0" w:color="auto"/>
        <w:bottom w:val="none" w:sz="0" w:space="0" w:color="auto"/>
        <w:right w:val="none" w:sz="0" w:space="0" w:color="auto"/>
      </w:divBdr>
    </w:div>
    <w:div w:id="183523330">
      <w:bodyDiv w:val="1"/>
      <w:marLeft w:val="0"/>
      <w:marRight w:val="0"/>
      <w:marTop w:val="0"/>
      <w:marBottom w:val="0"/>
      <w:divBdr>
        <w:top w:val="none" w:sz="0" w:space="0" w:color="auto"/>
        <w:left w:val="none" w:sz="0" w:space="0" w:color="auto"/>
        <w:bottom w:val="none" w:sz="0" w:space="0" w:color="auto"/>
        <w:right w:val="none" w:sz="0" w:space="0" w:color="auto"/>
      </w:divBdr>
    </w:div>
    <w:div w:id="208423844">
      <w:bodyDiv w:val="1"/>
      <w:marLeft w:val="0"/>
      <w:marRight w:val="0"/>
      <w:marTop w:val="0"/>
      <w:marBottom w:val="0"/>
      <w:divBdr>
        <w:top w:val="none" w:sz="0" w:space="0" w:color="auto"/>
        <w:left w:val="none" w:sz="0" w:space="0" w:color="auto"/>
        <w:bottom w:val="none" w:sz="0" w:space="0" w:color="auto"/>
        <w:right w:val="none" w:sz="0" w:space="0" w:color="auto"/>
      </w:divBdr>
    </w:div>
    <w:div w:id="278072091">
      <w:bodyDiv w:val="1"/>
      <w:marLeft w:val="0"/>
      <w:marRight w:val="0"/>
      <w:marTop w:val="0"/>
      <w:marBottom w:val="0"/>
      <w:divBdr>
        <w:top w:val="none" w:sz="0" w:space="0" w:color="auto"/>
        <w:left w:val="none" w:sz="0" w:space="0" w:color="auto"/>
        <w:bottom w:val="none" w:sz="0" w:space="0" w:color="auto"/>
        <w:right w:val="none" w:sz="0" w:space="0" w:color="auto"/>
      </w:divBdr>
    </w:div>
    <w:div w:id="307101776">
      <w:bodyDiv w:val="1"/>
      <w:marLeft w:val="0"/>
      <w:marRight w:val="0"/>
      <w:marTop w:val="0"/>
      <w:marBottom w:val="0"/>
      <w:divBdr>
        <w:top w:val="none" w:sz="0" w:space="0" w:color="auto"/>
        <w:left w:val="none" w:sz="0" w:space="0" w:color="auto"/>
        <w:bottom w:val="none" w:sz="0" w:space="0" w:color="auto"/>
        <w:right w:val="none" w:sz="0" w:space="0" w:color="auto"/>
      </w:divBdr>
    </w:div>
    <w:div w:id="363406567">
      <w:bodyDiv w:val="1"/>
      <w:marLeft w:val="0"/>
      <w:marRight w:val="0"/>
      <w:marTop w:val="0"/>
      <w:marBottom w:val="0"/>
      <w:divBdr>
        <w:top w:val="none" w:sz="0" w:space="0" w:color="auto"/>
        <w:left w:val="none" w:sz="0" w:space="0" w:color="auto"/>
        <w:bottom w:val="none" w:sz="0" w:space="0" w:color="auto"/>
        <w:right w:val="none" w:sz="0" w:space="0" w:color="auto"/>
      </w:divBdr>
    </w:div>
    <w:div w:id="413163466">
      <w:bodyDiv w:val="1"/>
      <w:marLeft w:val="0"/>
      <w:marRight w:val="0"/>
      <w:marTop w:val="0"/>
      <w:marBottom w:val="0"/>
      <w:divBdr>
        <w:top w:val="none" w:sz="0" w:space="0" w:color="auto"/>
        <w:left w:val="none" w:sz="0" w:space="0" w:color="auto"/>
        <w:bottom w:val="none" w:sz="0" w:space="0" w:color="auto"/>
        <w:right w:val="none" w:sz="0" w:space="0" w:color="auto"/>
      </w:divBdr>
    </w:div>
    <w:div w:id="439110821">
      <w:bodyDiv w:val="1"/>
      <w:marLeft w:val="0"/>
      <w:marRight w:val="0"/>
      <w:marTop w:val="0"/>
      <w:marBottom w:val="0"/>
      <w:divBdr>
        <w:top w:val="none" w:sz="0" w:space="0" w:color="auto"/>
        <w:left w:val="none" w:sz="0" w:space="0" w:color="auto"/>
        <w:bottom w:val="none" w:sz="0" w:space="0" w:color="auto"/>
        <w:right w:val="none" w:sz="0" w:space="0" w:color="auto"/>
      </w:divBdr>
    </w:div>
    <w:div w:id="460196139">
      <w:bodyDiv w:val="1"/>
      <w:marLeft w:val="0"/>
      <w:marRight w:val="0"/>
      <w:marTop w:val="0"/>
      <w:marBottom w:val="0"/>
      <w:divBdr>
        <w:top w:val="none" w:sz="0" w:space="0" w:color="auto"/>
        <w:left w:val="none" w:sz="0" w:space="0" w:color="auto"/>
        <w:bottom w:val="none" w:sz="0" w:space="0" w:color="auto"/>
        <w:right w:val="none" w:sz="0" w:space="0" w:color="auto"/>
      </w:divBdr>
    </w:div>
    <w:div w:id="521014851">
      <w:bodyDiv w:val="1"/>
      <w:marLeft w:val="0"/>
      <w:marRight w:val="0"/>
      <w:marTop w:val="0"/>
      <w:marBottom w:val="0"/>
      <w:divBdr>
        <w:top w:val="none" w:sz="0" w:space="0" w:color="auto"/>
        <w:left w:val="none" w:sz="0" w:space="0" w:color="auto"/>
        <w:bottom w:val="none" w:sz="0" w:space="0" w:color="auto"/>
        <w:right w:val="none" w:sz="0" w:space="0" w:color="auto"/>
      </w:divBdr>
    </w:div>
    <w:div w:id="531529697">
      <w:bodyDiv w:val="1"/>
      <w:marLeft w:val="0"/>
      <w:marRight w:val="0"/>
      <w:marTop w:val="0"/>
      <w:marBottom w:val="0"/>
      <w:divBdr>
        <w:top w:val="none" w:sz="0" w:space="0" w:color="auto"/>
        <w:left w:val="none" w:sz="0" w:space="0" w:color="auto"/>
        <w:bottom w:val="none" w:sz="0" w:space="0" w:color="auto"/>
        <w:right w:val="none" w:sz="0" w:space="0" w:color="auto"/>
      </w:divBdr>
    </w:div>
    <w:div w:id="534850369">
      <w:bodyDiv w:val="1"/>
      <w:marLeft w:val="0"/>
      <w:marRight w:val="0"/>
      <w:marTop w:val="0"/>
      <w:marBottom w:val="0"/>
      <w:divBdr>
        <w:top w:val="none" w:sz="0" w:space="0" w:color="auto"/>
        <w:left w:val="none" w:sz="0" w:space="0" w:color="auto"/>
        <w:bottom w:val="none" w:sz="0" w:space="0" w:color="auto"/>
        <w:right w:val="none" w:sz="0" w:space="0" w:color="auto"/>
      </w:divBdr>
    </w:div>
    <w:div w:id="536359689">
      <w:bodyDiv w:val="1"/>
      <w:marLeft w:val="0"/>
      <w:marRight w:val="0"/>
      <w:marTop w:val="0"/>
      <w:marBottom w:val="0"/>
      <w:divBdr>
        <w:top w:val="none" w:sz="0" w:space="0" w:color="auto"/>
        <w:left w:val="none" w:sz="0" w:space="0" w:color="auto"/>
        <w:bottom w:val="none" w:sz="0" w:space="0" w:color="auto"/>
        <w:right w:val="none" w:sz="0" w:space="0" w:color="auto"/>
      </w:divBdr>
    </w:div>
    <w:div w:id="538516464">
      <w:bodyDiv w:val="1"/>
      <w:marLeft w:val="0"/>
      <w:marRight w:val="0"/>
      <w:marTop w:val="0"/>
      <w:marBottom w:val="0"/>
      <w:divBdr>
        <w:top w:val="none" w:sz="0" w:space="0" w:color="auto"/>
        <w:left w:val="none" w:sz="0" w:space="0" w:color="auto"/>
        <w:bottom w:val="none" w:sz="0" w:space="0" w:color="auto"/>
        <w:right w:val="none" w:sz="0" w:space="0" w:color="auto"/>
      </w:divBdr>
    </w:div>
    <w:div w:id="569120982">
      <w:bodyDiv w:val="1"/>
      <w:marLeft w:val="0"/>
      <w:marRight w:val="0"/>
      <w:marTop w:val="0"/>
      <w:marBottom w:val="0"/>
      <w:divBdr>
        <w:top w:val="none" w:sz="0" w:space="0" w:color="auto"/>
        <w:left w:val="none" w:sz="0" w:space="0" w:color="auto"/>
        <w:bottom w:val="none" w:sz="0" w:space="0" w:color="auto"/>
        <w:right w:val="none" w:sz="0" w:space="0" w:color="auto"/>
      </w:divBdr>
    </w:div>
    <w:div w:id="593631090">
      <w:bodyDiv w:val="1"/>
      <w:marLeft w:val="0"/>
      <w:marRight w:val="0"/>
      <w:marTop w:val="0"/>
      <w:marBottom w:val="0"/>
      <w:divBdr>
        <w:top w:val="none" w:sz="0" w:space="0" w:color="auto"/>
        <w:left w:val="none" w:sz="0" w:space="0" w:color="auto"/>
        <w:bottom w:val="none" w:sz="0" w:space="0" w:color="auto"/>
        <w:right w:val="none" w:sz="0" w:space="0" w:color="auto"/>
      </w:divBdr>
    </w:div>
    <w:div w:id="599872664">
      <w:bodyDiv w:val="1"/>
      <w:marLeft w:val="0"/>
      <w:marRight w:val="0"/>
      <w:marTop w:val="0"/>
      <w:marBottom w:val="0"/>
      <w:divBdr>
        <w:top w:val="none" w:sz="0" w:space="0" w:color="auto"/>
        <w:left w:val="none" w:sz="0" w:space="0" w:color="auto"/>
        <w:bottom w:val="none" w:sz="0" w:space="0" w:color="auto"/>
        <w:right w:val="none" w:sz="0" w:space="0" w:color="auto"/>
      </w:divBdr>
    </w:div>
    <w:div w:id="663626456">
      <w:bodyDiv w:val="1"/>
      <w:marLeft w:val="0"/>
      <w:marRight w:val="0"/>
      <w:marTop w:val="0"/>
      <w:marBottom w:val="0"/>
      <w:divBdr>
        <w:top w:val="none" w:sz="0" w:space="0" w:color="auto"/>
        <w:left w:val="none" w:sz="0" w:space="0" w:color="auto"/>
        <w:bottom w:val="none" w:sz="0" w:space="0" w:color="auto"/>
        <w:right w:val="none" w:sz="0" w:space="0" w:color="auto"/>
      </w:divBdr>
    </w:div>
    <w:div w:id="667905554">
      <w:bodyDiv w:val="1"/>
      <w:marLeft w:val="0"/>
      <w:marRight w:val="0"/>
      <w:marTop w:val="0"/>
      <w:marBottom w:val="0"/>
      <w:divBdr>
        <w:top w:val="none" w:sz="0" w:space="0" w:color="auto"/>
        <w:left w:val="none" w:sz="0" w:space="0" w:color="auto"/>
        <w:bottom w:val="none" w:sz="0" w:space="0" w:color="auto"/>
        <w:right w:val="none" w:sz="0" w:space="0" w:color="auto"/>
      </w:divBdr>
    </w:div>
    <w:div w:id="765618139">
      <w:bodyDiv w:val="1"/>
      <w:marLeft w:val="0"/>
      <w:marRight w:val="0"/>
      <w:marTop w:val="0"/>
      <w:marBottom w:val="0"/>
      <w:divBdr>
        <w:top w:val="none" w:sz="0" w:space="0" w:color="auto"/>
        <w:left w:val="none" w:sz="0" w:space="0" w:color="auto"/>
        <w:bottom w:val="none" w:sz="0" w:space="0" w:color="auto"/>
        <w:right w:val="none" w:sz="0" w:space="0" w:color="auto"/>
      </w:divBdr>
    </w:div>
    <w:div w:id="855383201">
      <w:bodyDiv w:val="1"/>
      <w:marLeft w:val="0"/>
      <w:marRight w:val="0"/>
      <w:marTop w:val="0"/>
      <w:marBottom w:val="0"/>
      <w:divBdr>
        <w:top w:val="none" w:sz="0" w:space="0" w:color="auto"/>
        <w:left w:val="none" w:sz="0" w:space="0" w:color="auto"/>
        <w:bottom w:val="none" w:sz="0" w:space="0" w:color="auto"/>
        <w:right w:val="none" w:sz="0" w:space="0" w:color="auto"/>
      </w:divBdr>
    </w:div>
    <w:div w:id="870260121">
      <w:bodyDiv w:val="1"/>
      <w:marLeft w:val="0"/>
      <w:marRight w:val="0"/>
      <w:marTop w:val="0"/>
      <w:marBottom w:val="0"/>
      <w:divBdr>
        <w:top w:val="none" w:sz="0" w:space="0" w:color="auto"/>
        <w:left w:val="none" w:sz="0" w:space="0" w:color="auto"/>
        <w:bottom w:val="none" w:sz="0" w:space="0" w:color="auto"/>
        <w:right w:val="none" w:sz="0" w:space="0" w:color="auto"/>
      </w:divBdr>
    </w:div>
    <w:div w:id="894269918">
      <w:bodyDiv w:val="1"/>
      <w:marLeft w:val="0"/>
      <w:marRight w:val="0"/>
      <w:marTop w:val="0"/>
      <w:marBottom w:val="0"/>
      <w:divBdr>
        <w:top w:val="none" w:sz="0" w:space="0" w:color="auto"/>
        <w:left w:val="none" w:sz="0" w:space="0" w:color="auto"/>
        <w:bottom w:val="none" w:sz="0" w:space="0" w:color="auto"/>
        <w:right w:val="none" w:sz="0" w:space="0" w:color="auto"/>
      </w:divBdr>
    </w:div>
    <w:div w:id="925846243">
      <w:bodyDiv w:val="1"/>
      <w:marLeft w:val="0"/>
      <w:marRight w:val="0"/>
      <w:marTop w:val="0"/>
      <w:marBottom w:val="0"/>
      <w:divBdr>
        <w:top w:val="none" w:sz="0" w:space="0" w:color="auto"/>
        <w:left w:val="none" w:sz="0" w:space="0" w:color="auto"/>
        <w:bottom w:val="none" w:sz="0" w:space="0" w:color="auto"/>
        <w:right w:val="none" w:sz="0" w:space="0" w:color="auto"/>
      </w:divBdr>
    </w:div>
    <w:div w:id="952438330">
      <w:bodyDiv w:val="1"/>
      <w:marLeft w:val="0"/>
      <w:marRight w:val="0"/>
      <w:marTop w:val="0"/>
      <w:marBottom w:val="0"/>
      <w:divBdr>
        <w:top w:val="none" w:sz="0" w:space="0" w:color="auto"/>
        <w:left w:val="none" w:sz="0" w:space="0" w:color="auto"/>
        <w:bottom w:val="none" w:sz="0" w:space="0" w:color="auto"/>
        <w:right w:val="none" w:sz="0" w:space="0" w:color="auto"/>
      </w:divBdr>
    </w:div>
    <w:div w:id="1031807658">
      <w:bodyDiv w:val="1"/>
      <w:marLeft w:val="0"/>
      <w:marRight w:val="0"/>
      <w:marTop w:val="0"/>
      <w:marBottom w:val="0"/>
      <w:divBdr>
        <w:top w:val="none" w:sz="0" w:space="0" w:color="auto"/>
        <w:left w:val="none" w:sz="0" w:space="0" w:color="auto"/>
        <w:bottom w:val="none" w:sz="0" w:space="0" w:color="auto"/>
        <w:right w:val="none" w:sz="0" w:space="0" w:color="auto"/>
      </w:divBdr>
    </w:div>
    <w:div w:id="1039863101">
      <w:bodyDiv w:val="1"/>
      <w:marLeft w:val="0"/>
      <w:marRight w:val="0"/>
      <w:marTop w:val="0"/>
      <w:marBottom w:val="0"/>
      <w:divBdr>
        <w:top w:val="none" w:sz="0" w:space="0" w:color="auto"/>
        <w:left w:val="none" w:sz="0" w:space="0" w:color="auto"/>
        <w:bottom w:val="none" w:sz="0" w:space="0" w:color="auto"/>
        <w:right w:val="none" w:sz="0" w:space="0" w:color="auto"/>
      </w:divBdr>
    </w:div>
    <w:div w:id="1040475613">
      <w:bodyDiv w:val="1"/>
      <w:marLeft w:val="0"/>
      <w:marRight w:val="0"/>
      <w:marTop w:val="0"/>
      <w:marBottom w:val="0"/>
      <w:divBdr>
        <w:top w:val="none" w:sz="0" w:space="0" w:color="auto"/>
        <w:left w:val="none" w:sz="0" w:space="0" w:color="auto"/>
        <w:bottom w:val="none" w:sz="0" w:space="0" w:color="auto"/>
        <w:right w:val="none" w:sz="0" w:space="0" w:color="auto"/>
      </w:divBdr>
    </w:div>
    <w:div w:id="1321273555">
      <w:bodyDiv w:val="1"/>
      <w:marLeft w:val="0"/>
      <w:marRight w:val="0"/>
      <w:marTop w:val="0"/>
      <w:marBottom w:val="0"/>
      <w:divBdr>
        <w:top w:val="none" w:sz="0" w:space="0" w:color="auto"/>
        <w:left w:val="none" w:sz="0" w:space="0" w:color="auto"/>
        <w:bottom w:val="none" w:sz="0" w:space="0" w:color="auto"/>
        <w:right w:val="none" w:sz="0" w:space="0" w:color="auto"/>
      </w:divBdr>
    </w:div>
    <w:div w:id="1331130991">
      <w:bodyDiv w:val="1"/>
      <w:marLeft w:val="0"/>
      <w:marRight w:val="0"/>
      <w:marTop w:val="0"/>
      <w:marBottom w:val="0"/>
      <w:divBdr>
        <w:top w:val="none" w:sz="0" w:space="0" w:color="auto"/>
        <w:left w:val="none" w:sz="0" w:space="0" w:color="auto"/>
        <w:bottom w:val="none" w:sz="0" w:space="0" w:color="auto"/>
        <w:right w:val="none" w:sz="0" w:space="0" w:color="auto"/>
      </w:divBdr>
    </w:div>
    <w:div w:id="1340540096">
      <w:bodyDiv w:val="1"/>
      <w:marLeft w:val="0"/>
      <w:marRight w:val="0"/>
      <w:marTop w:val="0"/>
      <w:marBottom w:val="0"/>
      <w:divBdr>
        <w:top w:val="none" w:sz="0" w:space="0" w:color="auto"/>
        <w:left w:val="none" w:sz="0" w:space="0" w:color="auto"/>
        <w:bottom w:val="none" w:sz="0" w:space="0" w:color="auto"/>
        <w:right w:val="none" w:sz="0" w:space="0" w:color="auto"/>
      </w:divBdr>
    </w:div>
    <w:div w:id="1365402096">
      <w:bodyDiv w:val="1"/>
      <w:marLeft w:val="0"/>
      <w:marRight w:val="0"/>
      <w:marTop w:val="0"/>
      <w:marBottom w:val="0"/>
      <w:divBdr>
        <w:top w:val="none" w:sz="0" w:space="0" w:color="auto"/>
        <w:left w:val="none" w:sz="0" w:space="0" w:color="auto"/>
        <w:bottom w:val="none" w:sz="0" w:space="0" w:color="auto"/>
        <w:right w:val="none" w:sz="0" w:space="0" w:color="auto"/>
      </w:divBdr>
    </w:div>
    <w:div w:id="1367606483">
      <w:bodyDiv w:val="1"/>
      <w:marLeft w:val="0"/>
      <w:marRight w:val="0"/>
      <w:marTop w:val="0"/>
      <w:marBottom w:val="0"/>
      <w:divBdr>
        <w:top w:val="none" w:sz="0" w:space="0" w:color="auto"/>
        <w:left w:val="none" w:sz="0" w:space="0" w:color="auto"/>
        <w:bottom w:val="none" w:sz="0" w:space="0" w:color="auto"/>
        <w:right w:val="none" w:sz="0" w:space="0" w:color="auto"/>
      </w:divBdr>
    </w:div>
    <w:div w:id="1374236975">
      <w:bodyDiv w:val="1"/>
      <w:marLeft w:val="0"/>
      <w:marRight w:val="0"/>
      <w:marTop w:val="0"/>
      <w:marBottom w:val="0"/>
      <w:divBdr>
        <w:top w:val="none" w:sz="0" w:space="0" w:color="auto"/>
        <w:left w:val="none" w:sz="0" w:space="0" w:color="auto"/>
        <w:bottom w:val="none" w:sz="0" w:space="0" w:color="auto"/>
        <w:right w:val="none" w:sz="0" w:space="0" w:color="auto"/>
      </w:divBdr>
    </w:div>
    <w:div w:id="1435780808">
      <w:bodyDiv w:val="1"/>
      <w:marLeft w:val="0"/>
      <w:marRight w:val="0"/>
      <w:marTop w:val="0"/>
      <w:marBottom w:val="0"/>
      <w:divBdr>
        <w:top w:val="none" w:sz="0" w:space="0" w:color="auto"/>
        <w:left w:val="none" w:sz="0" w:space="0" w:color="auto"/>
        <w:bottom w:val="none" w:sz="0" w:space="0" w:color="auto"/>
        <w:right w:val="none" w:sz="0" w:space="0" w:color="auto"/>
      </w:divBdr>
    </w:div>
    <w:div w:id="1467822213">
      <w:bodyDiv w:val="1"/>
      <w:marLeft w:val="0"/>
      <w:marRight w:val="0"/>
      <w:marTop w:val="0"/>
      <w:marBottom w:val="0"/>
      <w:divBdr>
        <w:top w:val="none" w:sz="0" w:space="0" w:color="auto"/>
        <w:left w:val="none" w:sz="0" w:space="0" w:color="auto"/>
        <w:bottom w:val="none" w:sz="0" w:space="0" w:color="auto"/>
        <w:right w:val="none" w:sz="0" w:space="0" w:color="auto"/>
      </w:divBdr>
    </w:div>
    <w:div w:id="1495410908">
      <w:bodyDiv w:val="1"/>
      <w:marLeft w:val="0"/>
      <w:marRight w:val="0"/>
      <w:marTop w:val="0"/>
      <w:marBottom w:val="0"/>
      <w:divBdr>
        <w:top w:val="none" w:sz="0" w:space="0" w:color="auto"/>
        <w:left w:val="none" w:sz="0" w:space="0" w:color="auto"/>
        <w:bottom w:val="none" w:sz="0" w:space="0" w:color="auto"/>
        <w:right w:val="none" w:sz="0" w:space="0" w:color="auto"/>
      </w:divBdr>
    </w:div>
    <w:div w:id="1549419722">
      <w:bodyDiv w:val="1"/>
      <w:marLeft w:val="0"/>
      <w:marRight w:val="0"/>
      <w:marTop w:val="0"/>
      <w:marBottom w:val="0"/>
      <w:divBdr>
        <w:top w:val="none" w:sz="0" w:space="0" w:color="auto"/>
        <w:left w:val="none" w:sz="0" w:space="0" w:color="auto"/>
        <w:bottom w:val="none" w:sz="0" w:space="0" w:color="auto"/>
        <w:right w:val="none" w:sz="0" w:space="0" w:color="auto"/>
      </w:divBdr>
    </w:div>
    <w:div w:id="1645893872">
      <w:bodyDiv w:val="1"/>
      <w:marLeft w:val="0"/>
      <w:marRight w:val="0"/>
      <w:marTop w:val="0"/>
      <w:marBottom w:val="0"/>
      <w:divBdr>
        <w:top w:val="none" w:sz="0" w:space="0" w:color="auto"/>
        <w:left w:val="none" w:sz="0" w:space="0" w:color="auto"/>
        <w:bottom w:val="none" w:sz="0" w:space="0" w:color="auto"/>
        <w:right w:val="none" w:sz="0" w:space="0" w:color="auto"/>
      </w:divBdr>
    </w:div>
    <w:div w:id="1668441552">
      <w:bodyDiv w:val="1"/>
      <w:marLeft w:val="0"/>
      <w:marRight w:val="0"/>
      <w:marTop w:val="0"/>
      <w:marBottom w:val="0"/>
      <w:divBdr>
        <w:top w:val="none" w:sz="0" w:space="0" w:color="auto"/>
        <w:left w:val="none" w:sz="0" w:space="0" w:color="auto"/>
        <w:bottom w:val="none" w:sz="0" w:space="0" w:color="auto"/>
        <w:right w:val="none" w:sz="0" w:space="0" w:color="auto"/>
      </w:divBdr>
    </w:div>
    <w:div w:id="1711954026">
      <w:bodyDiv w:val="1"/>
      <w:marLeft w:val="0"/>
      <w:marRight w:val="0"/>
      <w:marTop w:val="0"/>
      <w:marBottom w:val="0"/>
      <w:divBdr>
        <w:top w:val="none" w:sz="0" w:space="0" w:color="auto"/>
        <w:left w:val="none" w:sz="0" w:space="0" w:color="auto"/>
        <w:bottom w:val="none" w:sz="0" w:space="0" w:color="auto"/>
        <w:right w:val="none" w:sz="0" w:space="0" w:color="auto"/>
      </w:divBdr>
    </w:div>
    <w:div w:id="1798714147">
      <w:bodyDiv w:val="1"/>
      <w:marLeft w:val="0"/>
      <w:marRight w:val="0"/>
      <w:marTop w:val="0"/>
      <w:marBottom w:val="0"/>
      <w:divBdr>
        <w:top w:val="none" w:sz="0" w:space="0" w:color="auto"/>
        <w:left w:val="none" w:sz="0" w:space="0" w:color="auto"/>
        <w:bottom w:val="none" w:sz="0" w:space="0" w:color="auto"/>
        <w:right w:val="none" w:sz="0" w:space="0" w:color="auto"/>
      </w:divBdr>
    </w:div>
    <w:div w:id="1811708392">
      <w:bodyDiv w:val="1"/>
      <w:marLeft w:val="0"/>
      <w:marRight w:val="0"/>
      <w:marTop w:val="0"/>
      <w:marBottom w:val="0"/>
      <w:divBdr>
        <w:top w:val="none" w:sz="0" w:space="0" w:color="auto"/>
        <w:left w:val="none" w:sz="0" w:space="0" w:color="auto"/>
        <w:bottom w:val="none" w:sz="0" w:space="0" w:color="auto"/>
        <w:right w:val="none" w:sz="0" w:space="0" w:color="auto"/>
      </w:divBdr>
    </w:div>
    <w:div w:id="1826626213">
      <w:bodyDiv w:val="1"/>
      <w:marLeft w:val="0"/>
      <w:marRight w:val="0"/>
      <w:marTop w:val="0"/>
      <w:marBottom w:val="0"/>
      <w:divBdr>
        <w:top w:val="none" w:sz="0" w:space="0" w:color="auto"/>
        <w:left w:val="none" w:sz="0" w:space="0" w:color="auto"/>
        <w:bottom w:val="none" w:sz="0" w:space="0" w:color="auto"/>
        <w:right w:val="none" w:sz="0" w:space="0" w:color="auto"/>
      </w:divBdr>
    </w:div>
    <w:div w:id="1844935401">
      <w:bodyDiv w:val="1"/>
      <w:marLeft w:val="0"/>
      <w:marRight w:val="0"/>
      <w:marTop w:val="0"/>
      <w:marBottom w:val="0"/>
      <w:divBdr>
        <w:top w:val="none" w:sz="0" w:space="0" w:color="auto"/>
        <w:left w:val="none" w:sz="0" w:space="0" w:color="auto"/>
        <w:bottom w:val="none" w:sz="0" w:space="0" w:color="auto"/>
        <w:right w:val="none" w:sz="0" w:space="0" w:color="auto"/>
      </w:divBdr>
    </w:div>
    <w:div w:id="1866753185">
      <w:bodyDiv w:val="1"/>
      <w:marLeft w:val="0"/>
      <w:marRight w:val="0"/>
      <w:marTop w:val="0"/>
      <w:marBottom w:val="0"/>
      <w:divBdr>
        <w:top w:val="none" w:sz="0" w:space="0" w:color="auto"/>
        <w:left w:val="none" w:sz="0" w:space="0" w:color="auto"/>
        <w:bottom w:val="none" w:sz="0" w:space="0" w:color="auto"/>
        <w:right w:val="none" w:sz="0" w:space="0" w:color="auto"/>
      </w:divBdr>
    </w:div>
    <w:div w:id="1911886813">
      <w:bodyDiv w:val="1"/>
      <w:marLeft w:val="0"/>
      <w:marRight w:val="0"/>
      <w:marTop w:val="0"/>
      <w:marBottom w:val="0"/>
      <w:divBdr>
        <w:top w:val="none" w:sz="0" w:space="0" w:color="auto"/>
        <w:left w:val="none" w:sz="0" w:space="0" w:color="auto"/>
        <w:bottom w:val="none" w:sz="0" w:space="0" w:color="auto"/>
        <w:right w:val="none" w:sz="0" w:space="0" w:color="auto"/>
      </w:divBdr>
    </w:div>
    <w:div w:id="1917085819">
      <w:bodyDiv w:val="1"/>
      <w:marLeft w:val="0"/>
      <w:marRight w:val="0"/>
      <w:marTop w:val="0"/>
      <w:marBottom w:val="0"/>
      <w:divBdr>
        <w:top w:val="none" w:sz="0" w:space="0" w:color="auto"/>
        <w:left w:val="none" w:sz="0" w:space="0" w:color="auto"/>
        <w:bottom w:val="none" w:sz="0" w:space="0" w:color="auto"/>
        <w:right w:val="none" w:sz="0" w:space="0" w:color="auto"/>
      </w:divBdr>
    </w:div>
    <w:div w:id="1947037843">
      <w:bodyDiv w:val="1"/>
      <w:marLeft w:val="0"/>
      <w:marRight w:val="0"/>
      <w:marTop w:val="0"/>
      <w:marBottom w:val="0"/>
      <w:divBdr>
        <w:top w:val="none" w:sz="0" w:space="0" w:color="auto"/>
        <w:left w:val="none" w:sz="0" w:space="0" w:color="auto"/>
        <w:bottom w:val="none" w:sz="0" w:space="0" w:color="auto"/>
        <w:right w:val="none" w:sz="0" w:space="0" w:color="auto"/>
      </w:divBdr>
    </w:div>
    <w:div w:id="1986006226">
      <w:bodyDiv w:val="1"/>
      <w:marLeft w:val="0"/>
      <w:marRight w:val="0"/>
      <w:marTop w:val="0"/>
      <w:marBottom w:val="0"/>
      <w:divBdr>
        <w:top w:val="none" w:sz="0" w:space="0" w:color="auto"/>
        <w:left w:val="none" w:sz="0" w:space="0" w:color="auto"/>
        <w:bottom w:val="none" w:sz="0" w:space="0" w:color="auto"/>
        <w:right w:val="none" w:sz="0" w:space="0" w:color="auto"/>
      </w:divBdr>
    </w:div>
    <w:div w:id="2054108483">
      <w:bodyDiv w:val="1"/>
      <w:marLeft w:val="0"/>
      <w:marRight w:val="0"/>
      <w:marTop w:val="0"/>
      <w:marBottom w:val="0"/>
      <w:divBdr>
        <w:top w:val="none" w:sz="0" w:space="0" w:color="auto"/>
        <w:left w:val="none" w:sz="0" w:space="0" w:color="auto"/>
        <w:bottom w:val="none" w:sz="0" w:space="0" w:color="auto"/>
        <w:right w:val="none" w:sz="0" w:space="0" w:color="auto"/>
      </w:divBdr>
    </w:div>
    <w:div w:id="2054846962">
      <w:bodyDiv w:val="1"/>
      <w:marLeft w:val="0"/>
      <w:marRight w:val="0"/>
      <w:marTop w:val="0"/>
      <w:marBottom w:val="0"/>
      <w:divBdr>
        <w:top w:val="none" w:sz="0" w:space="0" w:color="auto"/>
        <w:left w:val="none" w:sz="0" w:space="0" w:color="auto"/>
        <w:bottom w:val="none" w:sz="0" w:space="0" w:color="auto"/>
        <w:right w:val="none" w:sz="0" w:space="0" w:color="auto"/>
      </w:divBdr>
    </w:div>
    <w:div w:id="2094887038">
      <w:bodyDiv w:val="1"/>
      <w:marLeft w:val="0"/>
      <w:marRight w:val="0"/>
      <w:marTop w:val="0"/>
      <w:marBottom w:val="0"/>
      <w:divBdr>
        <w:top w:val="none" w:sz="0" w:space="0" w:color="auto"/>
        <w:left w:val="none" w:sz="0" w:space="0" w:color="auto"/>
        <w:bottom w:val="none" w:sz="0" w:space="0" w:color="auto"/>
        <w:right w:val="none" w:sz="0" w:space="0" w:color="auto"/>
      </w:divBdr>
    </w:div>
    <w:div w:id="2119835294">
      <w:bodyDiv w:val="1"/>
      <w:marLeft w:val="0"/>
      <w:marRight w:val="0"/>
      <w:marTop w:val="0"/>
      <w:marBottom w:val="0"/>
      <w:divBdr>
        <w:top w:val="none" w:sz="0" w:space="0" w:color="auto"/>
        <w:left w:val="none" w:sz="0" w:space="0" w:color="auto"/>
        <w:bottom w:val="none" w:sz="0" w:space="0" w:color="auto"/>
        <w:right w:val="none" w:sz="0" w:space="0" w:color="auto"/>
      </w:divBdr>
    </w:div>
    <w:div w:id="2120565261">
      <w:bodyDiv w:val="1"/>
      <w:marLeft w:val="0"/>
      <w:marRight w:val="0"/>
      <w:marTop w:val="0"/>
      <w:marBottom w:val="0"/>
      <w:divBdr>
        <w:top w:val="none" w:sz="0" w:space="0" w:color="auto"/>
        <w:left w:val="none" w:sz="0" w:space="0" w:color="auto"/>
        <w:bottom w:val="none" w:sz="0" w:space="0" w:color="auto"/>
        <w:right w:val="none" w:sz="0" w:space="0" w:color="auto"/>
      </w:divBdr>
    </w:div>
    <w:div w:id="2129276508">
      <w:bodyDiv w:val="1"/>
      <w:marLeft w:val="0"/>
      <w:marRight w:val="0"/>
      <w:marTop w:val="0"/>
      <w:marBottom w:val="0"/>
      <w:divBdr>
        <w:top w:val="none" w:sz="0" w:space="0" w:color="auto"/>
        <w:left w:val="none" w:sz="0" w:space="0" w:color="auto"/>
        <w:bottom w:val="none" w:sz="0" w:space="0" w:color="auto"/>
        <w:right w:val="none" w:sz="0" w:space="0" w:color="auto"/>
      </w:divBdr>
    </w:div>
    <w:div w:id="21447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adecra.org.ar/wp-content/uploads/2019/05/INFORME-ECONOMICO-16-Mayo-2019.pdf"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www.cronista.com/pyme/innovacion/Emprender-en-salud-inversiones-riesgos-y-potencial-de-ganancias-20190103-000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cronista.com/especiales/La-salud-privada-al-borde-del-colapso-por-la-devaluacion-y-los-costos-en-dolares-20191010-005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ndec.gob.ar/ftp/cuadros/economia/sh_VBP_VAB_09_19.xls" TargetMode="External"/><Relationship Id="rId4" Type="http://schemas.openxmlformats.org/officeDocument/2006/relationships/settings" Target="settings.xml"/><Relationship Id="rId9" Type="http://schemas.openxmlformats.org/officeDocument/2006/relationships/hyperlink" Target="https://www.clarin.com/empresas-y-negocios/salud-privada-sociales-medicina-argentina_0_BkuKyak0DQl.htm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i_\Desktop\EEA%20-%20Trabajo%20Pr&#225;ctico%20An&#225;lisis%20Sectorial%20Segundo%20Semestre%202019\my%20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i_\Desktop\EEA%20-%20Trabajo%20Pr&#225;ctico%20An&#225;lisis%20Sectorial%20Segundo%20Semestre%202019\my%20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i_\Desktop\EEA%20-%20Trabajo%20Pr&#225;ctico%20An&#225;lisis%20Sectorial%20Segundo%20Semestre%202019\my%20plo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 de Salud Privada y Total Sectores</a:t>
            </a:r>
          </a:p>
          <a:p>
            <a:pPr>
              <a:defRPr/>
            </a:pPr>
            <a:r>
              <a:rPr lang="en-US" sz="1200"/>
              <a:t>Valores anuales en millones de pesos a precios</a:t>
            </a:r>
            <a:r>
              <a:rPr lang="en-US" sz="1200" baseline="0"/>
              <a:t> de 2004</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Sheet1!$A$4</c:f>
              <c:strCache>
                <c:ptCount val="1"/>
                <c:pt idx="0">
                  <c:v>Total de la economía</c:v>
                </c:pt>
              </c:strCache>
            </c:strRef>
          </c:tx>
          <c:spPr>
            <a:ln w="28575" cap="rnd">
              <a:solidFill>
                <a:schemeClr val="accent2"/>
              </a:solidFill>
              <a:round/>
            </a:ln>
            <a:effectLst/>
          </c:spPr>
          <c:marker>
            <c:symbol val="none"/>
          </c:marker>
          <c:cat>
            <c:multiLvlStrRef>
              <c:f>Sheet1!$B$1:$BK$2</c:f>
              <c:multiLvlStrCache>
                <c:ptCount val="62"/>
                <c:lvl>
                  <c:pt idx="0">
                    <c:v>1º trimestre</c:v>
                  </c:pt>
                  <c:pt idx="1">
                    <c:v>2º trimestre</c:v>
                  </c:pt>
                  <c:pt idx="2">
                    <c:v>3º trimestre</c:v>
                  </c:pt>
                  <c:pt idx="3">
                    <c:v>4º trimestre</c:v>
                  </c:pt>
                  <c:pt idx="4">
                    <c:v>1º trimestre</c:v>
                  </c:pt>
                  <c:pt idx="5">
                    <c:v>2º trimestre</c:v>
                  </c:pt>
                  <c:pt idx="6">
                    <c:v>3º trimestre</c:v>
                  </c:pt>
                  <c:pt idx="7">
                    <c:v>4º trimestre</c:v>
                  </c:pt>
                  <c:pt idx="8">
                    <c:v>1º trimestre</c:v>
                  </c:pt>
                  <c:pt idx="9">
                    <c:v>2º trimestre</c:v>
                  </c:pt>
                  <c:pt idx="10">
                    <c:v>3º trimestre</c:v>
                  </c:pt>
                  <c:pt idx="11">
                    <c:v>4º trimestre</c:v>
                  </c:pt>
                  <c:pt idx="12">
                    <c:v>1º trimestre</c:v>
                  </c:pt>
                  <c:pt idx="13">
                    <c:v>2º trimestre</c:v>
                  </c:pt>
                  <c:pt idx="14">
                    <c:v>3º trimestre</c:v>
                  </c:pt>
                  <c:pt idx="15">
                    <c:v>4º trimestre</c:v>
                  </c:pt>
                  <c:pt idx="16">
                    <c:v>1º trimestre</c:v>
                  </c:pt>
                  <c:pt idx="17">
                    <c:v>2º trimestre</c:v>
                  </c:pt>
                  <c:pt idx="18">
                    <c:v>3º trimestre</c:v>
                  </c:pt>
                  <c:pt idx="19">
                    <c:v>4º trimestre</c:v>
                  </c:pt>
                  <c:pt idx="20">
                    <c:v>1º trimestre</c:v>
                  </c:pt>
                  <c:pt idx="21">
                    <c:v>2º trimestre</c:v>
                  </c:pt>
                  <c:pt idx="22">
                    <c:v>3º trimestre</c:v>
                  </c:pt>
                  <c:pt idx="23">
                    <c:v>4º trimestre</c:v>
                  </c:pt>
                  <c:pt idx="24">
                    <c:v>1º trimestre</c:v>
                  </c:pt>
                  <c:pt idx="25">
                    <c:v>2º trimestre</c:v>
                  </c:pt>
                  <c:pt idx="26">
                    <c:v>3º trimestre</c:v>
                  </c:pt>
                  <c:pt idx="27">
                    <c:v>4º trimestre</c:v>
                  </c:pt>
                  <c:pt idx="28">
                    <c:v>1º trimestre</c:v>
                  </c:pt>
                  <c:pt idx="29">
                    <c:v>2º trimestre</c:v>
                  </c:pt>
                  <c:pt idx="30">
                    <c:v>3º trimestre</c:v>
                  </c:pt>
                  <c:pt idx="31">
                    <c:v>4º trimestre</c:v>
                  </c:pt>
                  <c:pt idx="32">
                    <c:v>1º trimestre</c:v>
                  </c:pt>
                  <c:pt idx="33">
                    <c:v>2º trimestre</c:v>
                  </c:pt>
                  <c:pt idx="34">
                    <c:v>3º trimestre</c:v>
                  </c:pt>
                  <c:pt idx="35">
                    <c:v>4º trimestre</c:v>
                  </c:pt>
                  <c:pt idx="36">
                    <c:v>1º trimestre</c:v>
                  </c:pt>
                  <c:pt idx="37">
                    <c:v>2º trimestre</c:v>
                  </c:pt>
                  <c:pt idx="38">
                    <c:v>3º trimestre</c:v>
                  </c:pt>
                  <c:pt idx="39">
                    <c:v>4º trimestre</c:v>
                  </c:pt>
                  <c:pt idx="40">
                    <c:v>1º trimestre</c:v>
                  </c:pt>
                  <c:pt idx="41">
                    <c:v>2º trimestre</c:v>
                  </c:pt>
                  <c:pt idx="42">
                    <c:v>3º trimestre</c:v>
                  </c:pt>
                  <c:pt idx="43">
                    <c:v>4º trimestre</c:v>
                  </c:pt>
                  <c:pt idx="44">
                    <c:v>1º trimestre</c:v>
                  </c:pt>
                  <c:pt idx="45">
                    <c:v>2º trimestre</c:v>
                  </c:pt>
                  <c:pt idx="46">
                    <c:v>3º trimestre</c:v>
                  </c:pt>
                  <c:pt idx="47">
                    <c:v>4º trimestre</c:v>
                  </c:pt>
                  <c:pt idx="48">
                    <c:v>1º trimestre</c:v>
                  </c:pt>
                  <c:pt idx="49">
                    <c:v>2º trimestre</c:v>
                  </c:pt>
                  <c:pt idx="50">
                    <c:v>3º trimestre</c:v>
                  </c:pt>
                  <c:pt idx="51">
                    <c:v>4º trimestre</c:v>
                  </c:pt>
                  <c:pt idx="52">
                    <c:v>1º trimestre</c:v>
                  </c:pt>
                  <c:pt idx="53">
                    <c:v>2º trimestre</c:v>
                  </c:pt>
                  <c:pt idx="54">
                    <c:v>3º trimestre</c:v>
                  </c:pt>
                  <c:pt idx="55">
                    <c:v>4º trimestre</c:v>
                  </c:pt>
                  <c:pt idx="56">
                    <c:v>1º trimestre</c:v>
                  </c:pt>
                  <c:pt idx="57">
                    <c:v>2º trimestre</c:v>
                  </c:pt>
                  <c:pt idx="58">
                    <c:v>3º trimestre</c:v>
                  </c:pt>
                  <c:pt idx="59">
                    <c:v>4º trimestre</c:v>
                  </c:pt>
                  <c:pt idx="60">
                    <c:v>1º trimestre</c:v>
                  </c:pt>
                  <c:pt idx="61">
                    <c:v>2º trimestre</c:v>
                  </c:pt>
                </c:lvl>
                <c:lvl>
                  <c:pt idx="0">
                    <c:v>2004</c:v>
                  </c:pt>
                  <c:pt idx="4">
                    <c:v>2005</c:v>
                  </c:pt>
                  <c:pt idx="8">
                    <c:v>2006</c:v>
                  </c:pt>
                  <c:pt idx="12">
                    <c:v>2007</c:v>
                  </c:pt>
                  <c:pt idx="16">
                    <c:v>2008</c:v>
                  </c:pt>
                  <c:pt idx="20">
                    <c:v>2009</c:v>
                  </c:pt>
                  <c:pt idx="24">
                    <c:v>2010</c:v>
                  </c:pt>
                  <c:pt idx="28">
                    <c:v>2011</c:v>
                  </c:pt>
                  <c:pt idx="32">
                    <c:v>2012</c:v>
                  </c:pt>
                  <c:pt idx="36">
                    <c:v>2013</c:v>
                  </c:pt>
                  <c:pt idx="40">
                    <c:v>2014</c:v>
                  </c:pt>
                  <c:pt idx="44">
                    <c:v>2015</c:v>
                  </c:pt>
                  <c:pt idx="48">
                    <c:v>2016</c:v>
                  </c:pt>
                  <c:pt idx="52">
                    <c:v>2017 (1)</c:v>
                  </c:pt>
                  <c:pt idx="56">
                    <c:v>2018 (2)</c:v>
                  </c:pt>
                  <c:pt idx="60">
                    <c:v>2019 (2)</c:v>
                  </c:pt>
                </c:lvl>
              </c:multiLvlStrCache>
            </c:multiLvlStrRef>
          </c:cat>
          <c:val>
            <c:numRef>
              <c:f>Sheet1!$B$4:$BK$4</c:f>
              <c:numCache>
                <c:formatCode>#,##0</c:formatCode>
                <c:ptCount val="62"/>
                <c:pt idx="0">
                  <c:v>390786.93270853726</c:v>
                </c:pt>
                <c:pt idx="1">
                  <c:v>439742.58488510718</c:v>
                </c:pt>
                <c:pt idx="2">
                  <c:v>406578.93921333045</c:v>
                </c:pt>
                <c:pt idx="3">
                  <c:v>412601.38072659553</c:v>
                </c:pt>
                <c:pt idx="4">
                  <c:v>419640.84960049239</c:v>
                </c:pt>
                <c:pt idx="5">
                  <c:v>498534.24379746203</c:v>
                </c:pt>
                <c:pt idx="6">
                  <c:v>437276.76489456213</c:v>
                </c:pt>
                <c:pt idx="7">
                  <c:v>445761.4710450811</c:v>
                </c:pt>
                <c:pt idx="8">
                  <c:v>451523.57047149329</c:v>
                </c:pt>
                <c:pt idx="9">
                  <c:v>525867.2174463087</c:v>
                </c:pt>
                <c:pt idx="10">
                  <c:v>477872.47768974368</c:v>
                </c:pt>
                <c:pt idx="11">
                  <c:v>482693.07976172003</c:v>
                </c:pt>
                <c:pt idx="12">
                  <c:v>485614.73522477673</c:v>
                </c:pt>
                <c:pt idx="13">
                  <c:v>575227.49131886661</c:v>
                </c:pt>
                <c:pt idx="14">
                  <c:v>510805.07395971369</c:v>
                </c:pt>
                <c:pt idx="15">
                  <c:v>521608.54790894152</c:v>
                </c:pt>
                <c:pt idx="16">
                  <c:v>513982.66698235169</c:v>
                </c:pt>
                <c:pt idx="17">
                  <c:v>603851.08248719142</c:v>
                </c:pt>
                <c:pt idx="18">
                  <c:v>539984.75777539844</c:v>
                </c:pt>
                <c:pt idx="19">
                  <c:v>513458.61604791734</c:v>
                </c:pt>
                <c:pt idx="20">
                  <c:v>482999.5774584185</c:v>
                </c:pt>
                <c:pt idx="21">
                  <c:v>532731.55574976071</c:v>
                </c:pt>
                <c:pt idx="22">
                  <c:v>512817.44502833922</c:v>
                </c:pt>
                <c:pt idx="23">
                  <c:v>518186.66249143024</c:v>
                </c:pt>
                <c:pt idx="24">
                  <c:v>513702.81287690334</c:v>
                </c:pt>
                <c:pt idx="25">
                  <c:v>621308.48863804259</c:v>
                </c:pt>
                <c:pt idx="26">
                  <c:v>557179.73929192196</c:v>
                </c:pt>
                <c:pt idx="27">
                  <c:v>559799.1058035437</c:v>
                </c:pt>
                <c:pt idx="28">
                  <c:v>552172.5318040445</c:v>
                </c:pt>
                <c:pt idx="29">
                  <c:v>646898.63300272648</c:v>
                </c:pt>
                <c:pt idx="30">
                  <c:v>590445.0826619952</c:v>
                </c:pt>
                <c:pt idx="31">
                  <c:v>584564.83427638677</c:v>
                </c:pt>
                <c:pt idx="32">
                  <c:v>558390.93518550275</c:v>
                </c:pt>
                <c:pt idx="33">
                  <c:v>614895.66613529297</c:v>
                </c:pt>
                <c:pt idx="34">
                  <c:v>582963.28045685601</c:v>
                </c:pt>
                <c:pt idx="35">
                  <c:v>584095.27422197082</c:v>
                </c:pt>
                <c:pt idx="36">
                  <c:v>558890.21576566075</c:v>
                </c:pt>
                <c:pt idx="37">
                  <c:v>650956.23977264285</c:v>
                </c:pt>
                <c:pt idx="38">
                  <c:v>595017.42633371847</c:v>
                </c:pt>
                <c:pt idx="39">
                  <c:v>587118.31626360153</c:v>
                </c:pt>
                <c:pt idx="40">
                  <c:v>554539.87032956118</c:v>
                </c:pt>
                <c:pt idx="41">
                  <c:v>642098.18517827487</c:v>
                </c:pt>
                <c:pt idx="42">
                  <c:v>576456.66598760872</c:v>
                </c:pt>
                <c:pt idx="43">
                  <c:v>575374.63283587678</c:v>
                </c:pt>
                <c:pt idx="44">
                  <c:v>558293.38612984063</c:v>
                </c:pt>
                <c:pt idx="45">
                  <c:v>669072.15314732748</c:v>
                </c:pt>
                <c:pt idx="46">
                  <c:v>597180.17329596658</c:v>
                </c:pt>
                <c:pt idx="47">
                  <c:v>587215.21443879663</c:v>
                </c:pt>
                <c:pt idx="48">
                  <c:v>558905.44479483925</c:v>
                </c:pt>
                <c:pt idx="49">
                  <c:v>642653.47384009883</c:v>
                </c:pt>
                <c:pt idx="50">
                  <c:v>578252.94016113807</c:v>
                </c:pt>
                <c:pt idx="51">
                  <c:v>578680.36315130745</c:v>
                </c:pt>
                <c:pt idx="52">
                  <c:v>560691.0447261692</c:v>
                </c:pt>
                <c:pt idx="53">
                  <c:v>655687.16531711305</c:v>
                </c:pt>
                <c:pt idx="54">
                  <c:v>597812.3453137977</c:v>
                </c:pt>
                <c:pt idx="55">
                  <c:v>601200.01036855462</c:v>
                </c:pt>
                <c:pt idx="56">
                  <c:v>581338.28908850916</c:v>
                </c:pt>
                <c:pt idx="57">
                  <c:v>627115.1651555862</c:v>
                </c:pt>
                <c:pt idx="58">
                  <c:v>578348.75353808899</c:v>
                </c:pt>
                <c:pt idx="59">
                  <c:v>566844.63501592109</c:v>
                </c:pt>
                <c:pt idx="60">
                  <c:v>551228.41385210503</c:v>
                </c:pt>
                <c:pt idx="61">
                  <c:v>636133.54178167274</c:v>
                </c:pt>
              </c:numCache>
            </c:numRef>
          </c:val>
          <c:smooth val="0"/>
          <c:extLst>
            <c:ext xmlns:c16="http://schemas.microsoft.com/office/drawing/2014/chart" uri="{C3380CC4-5D6E-409C-BE32-E72D297353CC}">
              <c16:uniqueId val="{00000000-136E-4F63-8947-E576BF47E61D}"/>
            </c:ext>
          </c:extLst>
        </c:ser>
        <c:dLbls>
          <c:showLegendKey val="0"/>
          <c:showVal val="0"/>
          <c:showCatName val="0"/>
          <c:showSerName val="0"/>
          <c:showPercent val="0"/>
          <c:showBubbleSize val="0"/>
        </c:dLbls>
        <c:marker val="1"/>
        <c:smooth val="0"/>
        <c:axId val="454263968"/>
        <c:axId val="454266592"/>
      </c:lineChart>
      <c:lineChart>
        <c:grouping val="standard"/>
        <c:varyColors val="0"/>
        <c:ser>
          <c:idx val="0"/>
          <c:order val="0"/>
          <c:tx>
            <c:strRef>
              <c:f>Sheet1!$A$3</c:f>
              <c:strCache>
                <c:ptCount val="1"/>
                <c:pt idx="0">
                  <c:v>Salud Privada</c:v>
                </c:pt>
              </c:strCache>
            </c:strRef>
          </c:tx>
          <c:spPr>
            <a:ln w="28575" cap="rnd">
              <a:solidFill>
                <a:schemeClr val="accent1"/>
              </a:solidFill>
              <a:round/>
            </a:ln>
            <a:effectLst/>
          </c:spPr>
          <c:marker>
            <c:symbol val="none"/>
          </c:marker>
          <c:cat>
            <c:multiLvlStrRef>
              <c:f>Sheet1!$B$1:$BK$2</c:f>
              <c:multiLvlStrCache>
                <c:ptCount val="62"/>
                <c:lvl>
                  <c:pt idx="0">
                    <c:v>1º trimestre</c:v>
                  </c:pt>
                  <c:pt idx="1">
                    <c:v>2º trimestre</c:v>
                  </c:pt>
                  <c:pt idx="2">
                    <c:v>3º trimestre</c:v>
                  </c:pt>
                  <c:pt idx="3">
                    <c:v>4º trimestre</c:v>
                  </c:pt>
                  <c:pt idx="4">
                    <c:v>1º trimestre</c:v>
                  </c:pt>
                  <c:pt idx="5">
                    <c:v>2º trimestre</c:v>
                  </c:pt>
                  <c:pt idx="6">
                    <c:v>3º trimestre</c:v>
                  </c:pt>
                  <c:pt idx="7">
                    <c:v>4º trimestre</c:v>
                  </c:pt>
                  <c:pt idx="8">
                    <c:v>1º trimestre</c:v>
                  </c:pt>
                  <c:pt idx="9">
                    <c:v>2º trimestre</c:v>
                  </c:pt>
                  <c:pt idx="10">
                    <c:v>3º trimestre</c:v>
                  </c:pt>
                  <c:pt idx="11">
                    <c:v>4º trimestre</c:v>
                  </c:pt>
                  <c:pt idx="12">
                    <c:v>1º trimestre</c:v>
                  </c:pt>
                  <c:pt idx="13">
                    <c:v>2º trimestre</c:v>
                  </c:pt>
                  <c:pt idx="14">
                    <c:v>3º trimestre</c:v>
                  </c:pt>
                  <c:pt idx="15">
                    <c:v>4º trimestre</c:v>
                  </c:pt>
                  <c:pt idx="16">
                    <c:v>1º trimestre</c:v>
                  </c:pt>
                  <c:pt idx="17">
                    <c:v>2º trimestre</c:v>
                  </c:pt>
                  <c:pt idx="18">
                    <c:v>3º trimestre</c:v>
                  </c:pt>
                  <c:pt idx="19">
                    <c:v>4º trimestre</c:v>
                  </c:pt>
                  <c:pt idx="20">
                    <c:v>1º trimestre</c:v>
                  </c:pt>
                  <c:pt idx="21">
                    <c:v>2º trimestre</c:v>
                  </c:pt>
                  <c:pt idx="22">
                    <c:v>3º trimestre</c:v>
                  </c:pt>
                  <c:pt idx="23">
                    <c:v>4º trimestre</c:v>
                  </c:pt>
                  <c:pt idx="24">
                    <c:v>1º trimestre</c:v>
                  </c:pt>
                  <c:pt idx="25">
                    <c:v>2º trimestre</c:v>
                  </c:pt>
                  <c:pt idx="26">
                    <c:v>3º trimestre</c:v>
                  </c:pt>
                  <c:pt idx="27">
                    <c:v>4º trimestre</c:v>
                  </c:pt>
                  <c:pt idx="28">
                    <c:v>1º trimestre</c:v>
                  </c:pt>
                  <c:pt idx="29">
                    <c:v>2º trimestre</c:v>
                  </c:pt>
                  <c:pt idx="30">
                    <c:v>3º trimestre</c:v>
                  </c:pt>
                  <c:pt idx="31">
                    <c:v>4º trimestre</c:v>
                  </c:pt>
                  <c:pt idx="32">
                    <c:v>1º trimestre</c:v>
                  </c:pt>
                  <c:pt idx="33">
                    <c:v>2º trimestre</c:v>
                  </c:pt>
                  <c:pt idx="34">
                    <c:v>3º trimestre</c:v>
                  </c:pt>
                  <c:pt idx="35">
                    <c:v>4º trimestre</c:v>
                  </c:pt>
                  <c:pt idx="36">
                    <c:v>1º trimestre</c:v>
                  </c:pt>
                  <c:pt idx="37">
                    <c:v>2º trimestre</c:v>
                  </c:pt>
                  <c:pt idx="38">
                    <c:v>3º trimestre</c:v>
                  </c:pt>
                  <c:pt idx="39">
                    <c:v>4º trimestre</c:v>
                  </c:pt>
                  <c:pt idx="40">
                    <c:v>1º trimestre</c:v>
                  </c:pt>
                  <c:pt idx="41">
                    <c:v>2º trimestre</c:v>
                  </c:pt>
                  <c:pt idx="42">
                    <c:v>3º trimestre</c:v>
                  </c:pt>
                  <c:pt idx="43">
                    <c:v>4º trimestre</c:v>
                  </c:pt>
                  <c:pt idx="44">
                    <c:v>1º trimestre</c:v>
                  </c:pt>
                  <c:pt idx="45">
                    <c:v>2º trimestre</c:v>
                  </c:pt>
                  <c:pt idx="46">
                    <c:v>3º trimestre</c:v>
                  </c:pt>
                  <c:pt idx="47">
                    <c:v>4º trimestre</c:v>
                  </c:pt>
                  <c:pt idx="48">
                    <c:v>1º trimestre</c:v>
                  </c:pt>
                  <c:pt idx="49">
                    <c:v>2º trimestre</c:v>
                  </c:pt>
                  <c:pt idx="50">
                    <c:v>3º trimestre</c:v>
                  </c:pt>
                  <c:pt idx="51">
                    <c:v>4º trimestre</c:v>
                  </c:pt>
                  <c:pt idx="52">
                    <c:v>1º trimestre</c:v>
                  </c:pt>
                  <c:pt idx="53">
                    <c:v>2º trimestre</c:v>
                  </c:pt>
                  <c:pt idx="54">
                    <c:v>3º trimestre</c:v>
                  </c:pt>
                  <c:pt idx="55">
                    <c:v>4º trimestre</c:v>
                  </c:pt>
                  <c:pt idx="56">
                    <c:v>1º trimestre</c:v>
                  </c:pt>
                  <c:pt idx="57">
                    <c:v>2º trimestre</c:v>
                  </c:pt>
                  <c:pt idx="58">
                    <c:v>3º trimestre</c:v>
                  </c:pt>
                  <c:pt idx="59">
                    <c:v>4º trimestre</c:v>
                  </c:pt>
                  <c:pt idx="60">
                    <c:v>1º trimestre</c:v>
                  </c:pt>
                  <c:pt idx="61">
                    <c:v>2º trimestre</c:v>
                  </c:pt>
                </c:lvl>
                <c:lvl>
                  <c:pt idx="0">
                    <c:v>2004</c:v>
                  </c:pt>
                  <c:pt idx="4">
                    <c:v>2005</c:v>
                  </c:pt>
                  <c:pt idx="8">
                    <c:v>2006</c:v>
                  </c:pt>
                  <c:pt idx="12">
                    <c:v>2007</c:v>
                  </c:pt>
                  <c:pt idx="16">
                    <c:v>2008</c:v>
                  </c:pt>
                  <c:pt idx="20">
                    <c:v>2009</c:v>
                  </c:pt>
                  <c:pt idx="24">
                    <c:v>2010</c:v>
                  </c:pt>
                  <c:pt idx="28">
                    <c:v>2011</c:v>
                  </c:pt>
                  <c:pt idx="32">
                    <c:v>2012</c:v>
                  </c:pt>
                  <c:pt idx="36">
                    <c:v>2013</c:v>
                  </c:pt>
                  <c:pt idx="40">
                    <c:v>2014</c:v>
                  </c:pt>
                  <c:pt idx="44">
                    <c:v>2015</c:v>
                  </c:pt>
                  <c:pt idx="48">
                    <c:v>2016</c:v>
                  </c:pt>
                  <c:pt idx="52">
                    <c:v>2017 (1)</c:v>
                  </c:pt>
                  <c:pt idx="56">
                    <c:v>2018 (2)</c:v>
                  </c:pt>
                  <c:pt idx="60">
                    <c:v>2019 (2)</c:v>
                  </c:pt>
                </c:lvl>
              </c:multiLvlStrCache>
            </c:multiLvlStrRef>
          </c:cat>
          <c:val>
            <c:numRef>
              <c:f>Sheet1!$B$3:$BK$3</c:f>
              <c:numCache>
                <c:formatCode>#,##0</c:formatCode>
                <c:ptCount val="62"/>
                <c:pt idx="0">
                  <c:v>8257.8137512756039</c:v>
                </c:pt>
                <c:pt idx="1">
                  <c:v>9356.6588017193608</c:v>
                </c:pt>
                <c:pt idx="2">
                  <c:v>9383.4361997988344</c:v>
                </c:pt>
                <c:pt idx="3">
                  <c:v>8694.1499660319059</c:v>
                </c:pt>
                <c:pt idx="4">
                  <c:v>9356.0251311616994</c:v>
                </c:pt>
                <c:pt idx="5">
                  <c:v>10399.165972910854</c:v>
                </c:pt>
                <c:pt idx="6">
                  <c:v>10435.099484371312</c:v>
                </c:pt>
                <c:pt idx="7">
                  <c:v>9582.4192930111967</c:v>
                </c:pt>
                <c:pt idx="8">
                  <c:v>9549.0487675932018</c:v>
                </c:pt>
                <c:pt idx="9">
                  <c:v>10700.906909066714</c:v>
                </c:pt>
                <c:pt idx="10">
                  <c:v>10640.850158553665</c:v>
                </c:pt>
                <c:pt idx="11">
                  <c:v>9800.5247169318536</c:v>
                </c:pt>
                <c:pt idx="12">
                  <c:v>10259.529758437142</c:v>
                </c:pt>
                <c:pt idx="13">
                  <c:v>11498.635445646541</c:v>
                </c:pt>
                <c:pt idx="14">
                  <c:v>11167.100137433119</c:v>
                </c:pt>
                <c:pt idx="15">
                  <c:v>10344.837408746049</c:v>
                </c:pt>
                <c:pt idx="16">
                  <c:v>10922.036979258823</c:v>
                </c:pt>
                <c:pt idx="17">
                  <c:v>12364.29509297062</c:v>
                </c:pt>
                <c:pt idx="18">
                  <c:v>12017.428947008706</c:v>
                </c:pt>
                <c:pt idx="19">
                  <c:v>11082.327627249631</c:v>
                </c:pt>
                <c:pt idx="20">
                  <c:v>11786.428215542936</c:v>
                </c:pt>
                <c:pt idx="21">
                  <c:v>13552.129815545364</c:v>
                </c:pt>
                <c:pt idx="22">
                  <c:v>13135.564095047836</c:v>
                </c:pt>
                <c:pt idx="23">
                  <c:v>11973.309200923368</c:v>
                </c:pt>
                <c:pt idx="24">
                  <c:v>12376.170678089533</c:v>
                </c:pt>
                <c:pt idx="25">
                  <c:v>14294.181019774876</c:v>
                </c:pt>
                <c:pt idx="26">
                  <c:v>13788.172184773663</c:v>
                </c:pt>
                <c:pt idx="27">
                  <c:v>12588.932191521522</c:v>
                </c:pt>
                <c:pt idx="28">
                  <c:v>13359.473041320163</c:v>
                </c:pt>
                <c:pt idx="29">
                  <c:v>15414.122682929801</c:v>
                </c:pt>
                <c:pt idx="30">
                  <c:v>14162.596296106254</c:v>
                </c:pt>
                <c:pt idx="31">
                  <c:v>12927.823921291023</c:v>
                </c:pt>
                <c:pt idx="32">
                  <c:v>14357.071433447109</c:v>
                </c:pt>
                <c:pt idx="33">
                  <c:v>16148.928968642253</c:v>
                </c:pt>
                <c:pt idx="34">
                  <c:v>14710.068705970129</c:v>
                </c:pt>
                <c:pt idx="35">
                  <c:v>13647.442756336583</c:v>
                </c:pt>
                <c:pt idx="36">
                  <c:v>14729.900935899759</c:v>
                </c:pt>
                <c:pt idx="37">
                  <c:v>16550.745079383047</c:v>
                </c:pt>
                <c:pt idx="38">
                  <c:v>15090.439157672175</c:v>
                </c:pt>
                <c:pt idx="39">
                  <c:v>13844.159418461653</c:v>
                </c:pt>
                <c:pt idx="40">
                  <c:v>14869.030473968676</c:v>
                </c:pt>
                <c:pt idx="41">
                  <c:v>16712.133274350053</c:v>
                </c:pt>
                <c:pt idx="42">
                  <c:v>15247.294900926565</c:v>
                </c:pt>
                <c:pt idx="43">
                  <c:v>14095.53893375237</c:v>
                </c:pt>
                <c:pt idx="44">
                  <c:v>15199.54692913526</c:v>
                </c:pt>
                <c:pt idx="45">
                  <c:v>17111.129309764943</c:v>
                </c:pt>
                <c:pt idx="46">
                  <c:v>15639.169285077494</c:v>
                </c:pt>
                <c:pt idx="47">
                  <c:v>14433.548517637235</c:v>
                </c:pt>
                <c:pt idx="48">
                  <c:v>15684.33676035301</c:v>
                </c:pt>
                <c:pt idx="49">
                  <c:v>17654.807907147559</c:v>
                </c:pt>
                <c:pt idx="50">
                  <c:v>16117.325807061872</c:v>
                </c:pt>
                <c:pt idx="51">
                  <c:v>14873.817296437874</c:v>
                </c:pt>
                <c:pt idx="52">
                  <c:v>16156.226359699951</c:v>
                </c:pt>
                <c:pt idx="53">
                  <c:v>18065.458549004499</c:v>
                </c:pt>
                <c:pt idx="54">
                  <c:v>16506.098145385455</c:v>
                </c:pt>
                <c:pt idx="55">
                  <c:v>15244.571645196935</c:v>
                </c:pt>
                <c:pt idx="56">
                  <c:v>16476.228196177963</c:v>
                </c:pt>
                <c:pt idx="57">
                  <c:v>18445.758296992059</c:v>
                </c:pt>
                <c:pt idx="58">
                  <c:v>16692.180162600467</c:v>
                </c:pt>
                <c:pt idx="59">
                  <c:v>15330.250535267347</c:v>
                </c:pt>
                <c:pt idx="60">
                  <c:v>16450.623225221003</c:v>
                </c:pt>
                <c:pt idx="61">
                  <c:v>18407.530172685467</c:v>
                </c:pt>
              </c:numCache>
            </c:numRef>
          </c:val>
          <c:smooth val="0"/>
          <c:extLst>
            <c:ext xmlns:c16="http://schemas.microsoft.com/office/drawing/2014/chart" uri="{C3380CC4-5D6E-409C-BE32-E72D297353CC}">
              <c16:uniqueId val="{00000001-136E-4F63-8947-E576BF47E61D}"/>
            </c:ext>
          </c:extLst>
        </c:ser>
        <c:dLbls>
          <c:showLegendKey val="0"/>
          <c:showVal val="0"/>
          <c:showCatName val="0"/>
          <c:showSerName val="0"/>
          <c:showPercent val="0"/>
          <c:showBubbleSize val="0"/>
        </c:dLbls>
        <c:marker val="1"/>
        <c:smooth val="0"/>
        <c:axId val="458925736"/>
        <c:axId val="458923440"/>
      </c:lineChart>
      <c:valAx>
        <c:axId val="454266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63968"/>
        <c:crosses val="autoZero"/>
        <c:crossBetween val="between"/>
      </c:valAx>
      <c:catAx>
        <c:axId val="45426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66592"/>
        <c:crosses val="autoZero"/>
        <c:auto val="1"/>
        <c:lblAlgn val="ctr"/>
        <c:lblOffset val="100"/>
        <c:noMultiLvlLbl val="0"/>
      </c:catAx>
      <c:valAx>
        <c:axId val="458923440"/>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925736"/>
        <c:crosses val="max"/>
        <c:crossBetween val="between"/>
      </c:valAx>
      <c:catAx>
        <c:axId val="458925736"/>
        <c:scaling>
          <c:orientation val="minMax"/>
        </c:scaling>
        <c:delete val="1"/>
        <c:axPos val="t"/>
        <c:numFmt formatCode="General" sourceLinked="1"/>
        <c:majorTickMark val="out"/>
        <c:minorTickMark val="none"/>
        <c:tickLblPos val="nextTo"/>
        <c:crossAx val="458923440"/>
        <c:crosses val="max"/>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Precios relativos de Salud</a:t>
            </a:r>
            <a:r>
              <a:rPr lang="en-US" baseline="0"/>
              <a:t> Privada a Total Sectores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Sheet2!$A$6</c:f>
              <c:strCache>
                <c:ptCount val="1"/>
              </c:strCache>
            </c:strRef>
          </c:tx>
          <c:spPr>
            <a:ln w="28575" cap="rnd">
              <a:solidFill>
                <a:schemeClr val="accent1"/>
              </a:solidFill>
              <a:round/>
            </a:ln>
            <a:effectLst/>
          </c:spPr>
          <c:marker>
            <c:symbol val="none"/>
          </c:marker>
          <c:cat>
            <c:multiLvlStrRef>
              <c:f>Sheet2!$B$1:$BK$2</c:f>
              <c:multiLvlStrCache>
                <c:ptCount val="62"/>
                <c:lvl>
                  <c:pt idx="0">
                    <c:v>1º trimestre</c:v>
                  </c:pt>
                  <c:pt idx="1">
                    <c:v>2º trimestre</c:v>
                  </c:pt>
                  <c:pt idx="2">
                    <c:v>3º trimestre</c:v>
                  </c:pt>
                  <c:pt idx="3">
                    <c:v>4º trimestre</c:v>
                  </c:pt>
                  <c:pt idx="4">
                    <c:v>1º trimestre</c:v>
                  </c:pt>
                  <c:pt idx="5">
                    <c:v>2º trimestre</c:v>
                  </c:pt>
                  <c:pt idx="6">
                    <c:v>3º trimestre</c:v>
                  </c:pt>
                  <c:pt idx="7">
                    <c:v>4º trimestre</c:v>
                  </c:pt>
                  <c:pt idx="8">
                    <c:v>1º trimestre</c:v>
                  </c:pt>
                  <c:pt idx="9">
                    <c:v>2º trimestre</c:v>
                  </c:pt>
                  <c:pt idx="10">
                    <c:v>3º trimestre</c:v>
                  </c:pt>
                  <c:pt idx="11">
                    <c:v>4º trimestre</c:v>
                  </c:pt>
                  <c:pt idx="12">
                    <c:v>1º trimestre</c:v>
                  </c:pt>
                  <c:pt idx="13">
                    <c:v>2º trimestre</c:v>
                  </c:pt>
                  <c:pt idx="14">
                    <c:v>3º trimestre</c:v>
                  </c:pt>
                  <c:pt idx="15">
                    <c:v>4º trimestre</c:v>
                  </c:pt>
                  <c:pt idx="16">
                    <c:v>1º trimestre</c:v>
                  </c:pt>
                  <c:pt idx="17">
                    <c:v>2º trimestre</c:v>
                  </c:pt>
                  <c:pt idx="18">
                    <c:v>3º trimestre</c:v>
                  </c:pt>
                  <c:pt idx="19">
                    <c:v>4º trimestre</c:v>
                  </c:pt>
                  <c:pt idx="20">
                    <c:v>1º trimestre</c:v>
                  </c:pt>
                  <c:pt idx="21">
                    <c:v>2º trimestre</c:v>
                  </c:pt>
                  <c:pt idx="22">
                    <c:v>3º trimestre</c:v>
                  </c:pt>
                  <c:pt idx="23">
                    <c:v>4º trimestre</c:v>
                  </c:pt>
                  <c:pt idx="24">
                    <c:v>1º trimestre</c:v>
                  </c:pt>
                  <c:pt idx="25">
                    <c:v>2º trimestre</c:v>
                  </c:pt>
                  <c:pt idx="26">
                    <c:v>3º trimestre</c:v>
                  </c:pt>
                  <c:pt idx="27">
                    <c:v>4º trimestre</c:v>
                  </c:pt>
                  <c:pt idx="28">
                    <c:v>1º trimestre</c:v>
                  </c:pt>
                  <c:pt idx="29">
                    <c:v>2º trimestre</c:v>
                  </c:pt>
                  <c:pt idx="30">
                    <c:v>3º trimestre</c:v>
                  </c:pt>
                  <c:pt idx="31">
                    <c:v>4º trimestre</c:v>
                  </c:pt>
                  <c:pt idx="32">
                    <c:v>1º trimestre</c:v>
                  </c:pt>
                  <c:pt idx="33">
                    <c:v>2º trimestre</c:v>
                  </c:pt>
                  <c:pt idx="34">
                    <c:v>3º trimestre</c:v>
                  </c:pt>
                  <c:pt idx="35">
                    <c:v>4º trimestre</c:v>
                  </c:pt>
                  <c:pt idx="36">
                    <c:v>1º trimestre</c:v>
                  </c:pt>
                  <c:pt idx="37">
                    <c:v>2º trimestre</c:v>
                  </c:pt>
                  <c:pt idx="38">
                    <c:v>3º trimestre</c:v>
                  </c:pt>
                  <c:pt idx="39">
                    <c:v>4º trimestre</c:v>
                  </c:pt>
                  <c:pt idx="40">
                    <c:v>1º trimestre</c:v>
                  </c:pt>
                  <c:pt idx="41">
                    <c:v>2º trimestre</c:v>
                  </c:pt>
                  <c:pt idx="42">
                    <c:v>3º trimestre</c:v>
                  </c:pt>
                  <c:pt idx="43">
                    <c:v>4º trimestre</c:v>
                  </c:pt>
                  <c:pt idx="44">
                    <c:v>1º trimestre</c:v>
                  </c:pt>
                  <c:pt idx="45">
                    <c:v>2º trimestre</c:v>
                  </c:pt>
                  <c:pt idx="46">
                    <c:v>3º trimestre</c:v>
                  </c:pt>
                  <c:pt idx="47">
                    <c:v>4º trimestre</c:v>
                  </c:pt>
                  <c:pt idx="48">
                    <c:v>1º trimestre</c:v>
                  </c:pt>
                  <c:pt idx="49">
                    <c:v>2º trimestre</c:v>
                  </c:pt>
                  <c:pt idx="50">
                    <c:v>3º trimestre</c:v>
                  </c:pt>
                  <c:pt idx="51">
                    <c:v>4º trimestre</c:v>
                  </c:pt>
                  <c:pt idx="52">
                    <c:v>1º trimestre</c:v>
                  </c:pt>
                  <c:pt idx="53">
                    <c:v>2º trimestre</c:v>
                  </c:pt>
                  <c:pt idx="54">
                    <c:v>3º trimestre</c:v>
                  </c:pt>
                  <c:pt idx="55">
                    <c:v>4º trimestre</c:v>
                  </c:pt>
                  <c:pt idx="56">
                    <c:v>1º trimestre</c:v>
                  </c:pt>
                  <c:pt idx="57">
                    <c:v>2º trimestre</c:v>
                  </c:pt>
                  <c:pt idx="58">
                    <c:v>3º trimestre</c:v>
                  </c:pt>
                  <c:pt idx="59">
                    <c:v>4º trimestre</c:v>
                  </c:pt>
                  <c:pt idx="60">
                    <c:v>1º trimestre</c:v>
                  </c:pt>
                  <c:pt idx="61">
                    <c:v>2º trimestre</c:v>
                  </c:pt>
                </c:lvl>
                <c:lvl>
                  <c:pt idx="0">
                    <c:v>2004</c:v>
                  </c:pt>
                  <c:pt idx="4">
                    <c:v>2005</c:v>
                  </c:pt>
                  <c:pt idx="8">
                    <c:v>2006</c:v>
                  </c:pt>
                  <c:pt idx="12">
                    <c:v>2007</c:v>
                  </c:pt>
                  <c:pt idx="16">
                    <c:v>2008</c:v>
                  </c:pt>
                  <c:pt idx="20">
                    <c:v>2009</c:v>
                  </c:pt>
                  <c:pt idx="24">
                    <c:v>2010</c:v>
                  </c:pt>
                  <c:pt idx="28">
                    <c:v>2011</c:v>
                  </c:pt>
                  <c:pt idx="32">
                    <c:v>2012</c:v>
                  </c:pt>
                  <c:pt idx="36">
                    <c:v>2013</c:v>
                  </c:pt>
                  <c:pt idx="40">
                    <c:v>2014</c:v>
                  </c:pt>
                  <c:pt idx="44">
                    <c:v>2015</c:v>
                  </c:pt>
                  <c:pt idx="48">
                    <c:v>2016</c:v>
                  </c:pt>
                  <c:pt idx="52">
                    <c:v>2017 (1)</c:v>
                  </c:pt>
                  <c:pt idx="56">
                    <c:v>2018 (2)</c:v>
                  </c:pt>
                  <c:pt idx="60">
                    <c:v>2019 (2)</c:v>
                  </c:pt>
                </c:lvl>
              </c:multiLvlStrCache>
            </c:multiLvlStrRef>
          </c:cat>
          <c:val>
            <c:numRef>
              <c:f>Sheet2!$B$6:$BK$6</c:f>
              <c:numCache>
                <c:formatCode>General</c:formatCode>
                <c:ptCount val="62"/>
                <c:pt idx="0">
                  <c:v>0.96294785685164119</c:v>
                </c:pt>
                <c:pt idx="1">
                  <c:v>1.0128572578905886</c:v>
                </c:pt>
                <c:pt idx="2">
                  <c:v>0.99674247467852595</c:v>
                </c:pt>
                <c:pt idx="3">
                  <c:v>1.0220057178582875</c:v>
                </c:pt>
                <c:pt idx="4">
                  <c:v>0.96722527589317886</c:v>
                </c:pt>
                <c:pt idx="5">
                  <c:v>1.0468499016561006</c:v>
                </c:pt>
                <c:pt idx="6">
                  <c:v>0.94753539598061398</c:v>
                </c:pt>
                <c:pt idx="7">
                  <c:v>0.96214713233654436</c:v>
                </c:pt>
                <c:pt idx="8">
                  <c:v>0.99247021072934838</c:v>
                </c:pt>
                <c:pt idx="9">
                  <c:v>1.0980803899546916</c:v>
                </c:pt>
                <c:pt idx="10">
                  <c:v>1.0233226464588707</c:v>
                </c:pt>
                <c:pt idx="11">
                  <c:v>1.0365250052521287</c:v>
                </c:pt>
                <c:pt idx="12">
                  <c:v>1.0977334015054776</c:v>
                </c:pt>
                <c:pt idx="13">
                  <c:v>1.2337094417702805</c:v>
                </c:pt>
                <c:pt idx="14">
                  <c:v>1.0848129384771521</c:v>
                </c:pt>
                <c:pt idx="15">
                  <c:v>1.068206865119304</c:v>
                </c:pt>
                <c:pt idx="16">
                  <c:v>1.1913693964886851</c:v>
                </c:pt>
                <c:pt idx="17">
                  <c:v>1.2851412314181243</c:v>
                </c:pt>
                <c:pt idx="18">
                  <c:v>1.210392968183934</c:v>
                </c:pt>
                <c:pt idx="19">
                  <c:v>1.1962971668132714</c:v>
                </c:pt>
                <c:pt idx="20">
                  <c:v>1.2823705597500603</c:v>
                </c:pt>
                <c:pt idx="21">
                  <c:v>1.3895839008330837</c:v>
                </c:pt>
                <c:pt idx="22">
                  <c:v>1.3106528604054219</c:v>
                </c:pt>
                <c:pt idx="23">
                  <c:v>1.2781580163750528</c:v>
                </c:pt>
                <c:pt idx="24">
                  <c:v>1.3568770967341774</c:v>
                </c:pt>
                <c:pt idx="25">
                  <c:v>1.5182778776843755</c:v>
                </c:pt>
                <c:pt idx="26">
                  <c:v>1.3699426563630173</c:v>
                </c:pt>
                <c:pt idx="27">
                  <c:v>1.3201324603786766</c:v>
                </c:pt>
                <c:pt idx="28">
                  <c:v>1.3880363069675701</c:v>
                </c:pt>
                <c:pt idx="29">
                  <c:v>1.4975408682944016</c:v>
                </c:pt>
                <c:pt idx="30">
                  <c:v>1.5567572115351593</c:v>
                </c:pt>
                <c:pt idx="31">
                  <c:v>1.5679497371268096</c:v>
                </c:pt>
                <c:pt idx="32">
                  <c:v>1.5283454990711052</c:v>
                </c:pt>
                <c:pt idx="33">
                  <c:v>1.4191406550892971</c:v>
                </c:pt>
                <c:pt idx="34">
                  <c:v>1.606294665309179</c:v>
                </c:pt>
                <c:pt idx="35">
                  <c:v>1.7569462125690447</c:v>
                </c:pt>
                <c:pt idx="36">
                  <c:v>1.4564061531522974</c:v>
                </c:pt>
                <c:pt idx="37">
                  <c:v>1.5342167778513369</c:v>
                </c:pt>
                <c:pt idx="38">
                  <c:v>1.666388085797933</c:v>
                </c:pt>
                <c:pt idx="39">
                  <c:v>1.7876363044486863</c:v>
                </c:pt>
                <c:pt idx="40">
                  <c:v>1.3845374725419537</c:v>
                </c:pt>
                <c:pt idx="41">
                  <c:v>1.4199373473588657</c:v>
                </c:pt>
                <c:pt idx="42">
                  <c:v>1.6029266685067312</c:v>
                </c:pt>
                <c:pt idx="43">
                  <c:v>1.8110829481736128</c:v>
                </c:pt>
                <c:pt idx="44">
                  <c:v>1.5969857929413396</c:v>
                </c:pt>
                <c:pt idx="45">
                  <c:v>1.7314845960406897</c:v>
                </c:pt>
                <c:pt idx="46">
                  <c:v>1.5731080808082736</c:v>
                </c:pt>
                <c:pt idx="47">
                  <c:v>1.6122227148257744</c:v>
                </c:pt>
                <c:pt idx="48">
                  <c:v>1.5434553788753331</c:v>
                </c:pt>
                <c:pt idx="49">
                  <c:v>1.6466368258502593</c:v>
                </c:pt>
                <c:pt idx="50">
                  <c:v>1.6166914723117498</c:v>
                </c:pt>
                <c:pt idx="51">
                  <c:v>1.6313704268393951</c:v>
                </c:pt>
                <c:pt idx="52">
                  <c:v>1.6166842846462377</c:v>
                </c:pt>
                <c:pt idx="53">
                  <c:v>1.738061214035538</c:v>
                </c:pt>
                <c:pt idx="54">
                  <c:v>1.6534646261955139</c:v>
                </c:pt>
                <c:pt idx="55">
                  <c:v>1.6446971660062737</c:v>
                </c:pt>
                <c:pt idx="56">
                  <c:v>1.595388911394382</c:v>
                </c:pt>
                <c:pt idx="57">
                  <c:v>1.5841777340555792</c:v>
                </c:pt>
                <c:pt idx="58">
                  <c:v>1.5509834229786505</c:v>
                </c:pt>
                <c:pt idx="59">
                  <c:v>1.5528876469839894</c:v>
                </c:pt>
                <c:pt idx="60">
                  <c:v>1.4681623663380918</c:v>
                </c:pt>
                <c:pt idx="61">
                  <c:v>1.5372932853485397</c:v>
                </c:pt>
              </c:numCache>
            </c:numRef>
          </c:val>
          <c:smooth val="0"/>
          <c:extLst>
            <c:ext xmlns:c16="http://schemas.microsoft.com/office/drawing/2014/chart" uri="{C3380CC4-5D6E-409C-BE32-E72D297353CC}">
              <c16:uniqueId val="{00000000-489D-41CD-A850-900E979AECDD}"/>
            </c:ext>
          </c:extLst>
        </c:ser>
        <c:dLbls>
          <c:showLegendKey val="0"/>
          <c:showVal val="0"/>
          <c:showCatName val="0"/>
          <c:showSerName val="0"/>
          <c:showPercent val="0"/>
          <c:showBubbleSize val="0"/>
        </c:dLbls>
        <c:smooth val="0"/>
        <c:axId val="387038136"/>
        <c:axId val="387039120"/>
      </c:lineChart>
      <c:catAx>
        <c:axId val="387038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039120"/>
        <c:crosses val="autoZero"/>
        <c:auto val="1"/>
        <c:lblAlgn val="ctr"/>
        <c:lblOffset val="100"/>
        <c:noMultiLvlLbl val="0"/>
      </c:catAx>
      <c:valAx>
        <c:axId val="38703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038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Participación</a:t>
            </a:r>
            <a:r>
              <a:rPr lang="en-US" baseline="0"/>
              <a:t> del sector Salud Privada</a:t>
            </a:r>
          </a:p>
          <a:p>
            <a:pPr>
              <a:defRPr/>
            </a:pPr>
            <a:r>
              <a:rPr lang="en-US" sz="1200" baseline="0"/>
              <a:t>en el VA a precios corrientes de todos los sectores (en %)</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multiLvlStrRef>
              <c:f>Sheet3!$B$1:$BK$2</c:f>
              <c:multiLvlStrCache>
                <c:ptCount val="62"/>
                <c:lvl>
                  <c:pt idx="0">
                    <c:v>1º trimestre</c:v>
                  </c:pt>
                  <c:pt idx="1">
                    <c:v>2º trimestre</c:v>
                  </c:pt>
                  <c:pt idx="2">
                    <c:v>3º trimestre</c:v>
                  </c:pt>
                  <c:pt idx="3">
                    <c:v>4º trimestre</c:v>
                  </c:pt>
                  <c:pt idx="4">
                    <c:v>1º trimestre</c:v>
                  </c:pt>
                  <c:pt idx="5">
                    <c:v>2º trimestre</c:v>
                  </c:pt>
                  <c:pt idx="6">
                    <c:v>3º trimestre</c:v>
                  </c:pt>
                  <c:pt idx="7">
                    <c:v>4º trimestre</c:v>
                  </c:pt>
                  <c:pt idx="8">
                    <c:v>1º trimestre</c:v>
                  </c:pt>
                  <c:pt idx="9">
                    <c:v>2º trimestre</c:v>
                  </c:pt>
                  <c:pt idx="10">
                    <c:v>3º trimestre</c:v>
                  </c:pt>
                  <c:pt idx="11">
                    <c:v>4º trimestre</c:v>
                  </c:pt>
                  <c:pt idx="12">
                    <c:v>1º trimestre</c:v>
                  </c:pt>
                  <c:pt idx="13">
                    <c:v>2º trimestre</c:v>
                  </c:pt>
                  <c:pt idx="14">
                    <c:v>3º trimestre</c:v>
                  </c:pt>
                  <c:pt idx="15">
                    <c:v>4º trimestre</c:v>
                  </c:pt>
                  <c:pt idx="16">
                    <c:v>1º trimestre</c:v>
                  </c:pt>
                  <c:pt idx="17">
                    <c:v>2º trimestre</c:v>
                  </c:pt>
                  <c:pt idx="18">
                    <c:v>3º trimestre</c:v>
                  </c:pt>
                  <c:pt idx="19">
                    <c:v>4º trimestre</c:v>
                  </c:pt>
                  <c:pt idx="20">
                    <c:v>1º trimestre</c:v>
                  </c:pt>
                  <c:pt idx="21">
                    <c:v>2º trimestre</c:v>
                  </c:pt>
                  <c:pt idx="22">
                    <c:v>3º trimestre</c:v>
                  </c:pt>
                  <c:pt idx="23">
                    <c:v>4º trimestre</c:v>
                  </c:pt>
                  <c:pt idx="24">
                    <c:v>1º trimestre</c:v>
                  </c:pt>
                  <c:pt idx="25">
                    <c:v>2º trimestre</c:v>
                  </c:pt>
                  <c:pt idx="26">
                    <c:v>3º trimestre</c:v>
                  </c:pt>
                  <c:pt idx="27">
                    <c:v>4º trimestre</c:v>
                  </c:pt>
                  <c:pt idx="28">
                    <c:v>1º trimestre</c:v>
                  </c:pt>
                  <c:pt idx="29">
                    <c:v>2º trimestre</c:v>
                  </c:pt>
                  <c:pt idx="30">
                    <c:v>3º trimestre</c:v>
                  </c:pt>
                  <c:pt idx="31">
                    <c:v>4º trimestre</c:v>
                  </c:pt>
                  <c:pt idx="32">
                    <c:v>1º trimestre</c:v>
                  </c:pt>
                  <c:pt idx="33">
                    <c:v>2º trimestre</c:v>
                  </c:pt>
                  <c:pt idx="34">
                    <c:v>3º trimestre</c:v>
                  </c:pt>
                  <c:pt idx="35">
                    <c:v>4º trimestre</c:v>
                  </c:pt>
                  <c:pt idx="36">
                    <c:v>1º trimestre</c:v>
                  </c:pt>
                  <c:pt idx="37">
                    <c:v>2º trimestre</c:v>
                  </c:pt>
                  <c:pt idx="38">
                    <c:v>3º trimestre</c:v>
                  </c:pt>
                  <c:pt idx="39">
                    <c:v>4º trimestre</c:v>
                  </c:pt>
                  <c:pt idx="40">
                    <c:v>1º trimestre</c:v>
                  </c:pt>
                  <c:pt idx="41">
                    <c:v>2º trimestre</c:v>
                  </c:pt>
                  <c:pt idx="42">
                    <c:v>3º trimestre</c:v>
                  </c:pt>
                  <c:pt idx="43">
                    <c:v>4º trimestre</c:v>
                  </c:pt>
                  <c:pt idx="44">
                    <c:v>1º trimestre</c:v>
                  </c:pt>
                  <c:pt idx="45">
                    <c:v>2º trimestre</c:v>
                  </c:pt>
                  <c:pt idx="46">
                    <c:v>3º trimestre</c:v>
                  </c:pt>
                  <c:pt idx="47">
                    <c:v>4º trimestre</c:v>
                  </c:pt>
                  <c:pt idx="48">
                    <c:v>1º trimestre</c:v>
                  </c:pt>
                  <c:pt idx="49">
                    <c:v>2º trimestre</c:v>
                  </c:pt>
                  <c:pt idx="50">
                    <c:v>3º trimestre</c:v>
                  </c:pt>
                  <c:pt idx="51">
                    <c:v>4º trimestre</c:v>
                  </c:pt>
                  <c:pt idx="52">
                    <c:v>1º trimestre</c:v>
                  </c:pt>
                  <c:pt idx="53">
                    <c:v>2º trimestre</c:v>
                  </c:pt>
                  <c:pt idx="54">
                    <c:v>3º trimestre</c:v>
                  </c:pt>
                  <c:pt idx="55">
                    <c:v>4º trimestre</c:v>
                  </c:pt>
                  <c:pt idx="56">
                    <c:v>1º trimestre</c:v>
                  </c:pt>
                  <c:pt idx="57">
                    <c:v>2º trimestre</c:v>
                  </c:pt>
                  <c:pt idx="58">
                    <c:v>3º trimestre</c:v>
                  </c:pt>
                  <c:pt idx="59">
                    <c:v>4º trimestre</c:v>
                  </c:pt>
                  <c:pt idx="60">
                    <c:v>1º trimestre</c:v>
                  </c:pt>
                  <c:pt idx="61">
                    <c:v>2º trimestre</c:v>
                  </c:pt>
                </c:lvl>
                <c:lvl>
                  <c:pt idx="0">
                    <c:v>2004</c:v>
                  </c:pt>
                  <c:pt idx="4">
                    <c:v>2005</c:v>
                  </c:pt>
                  <c:pt idx="8">
                    <c:v>2006</c:v>
                  </c:pt>
                  <c:pt idx="12">
                    <c:v>2007</c:v>
                  </c:pt>
                  <c:pt idx="16">
                    <c:v>2008</c:v>
                  </c:pt>
                  <c:pt idx="20">
                    <c:v>2009</c:v>
                  </c:pt>
                  <c:pt idx="24">
                    <c:v>2010</c:v>
                  </c:pt>
                  <c:pt idx="28">
                    <c:v>2011</c:v>
                  </c:pt>
                  <c:pt idx="32">
                    <c:v>2012</c:v>
                  </c:pt>
                  <c:pt idx="36">
                    <c:v>2013</c:v>
                  </c:pt>
                  <c:pt idx="40">
                    <c:v>2014</c:v>
                  </c:pt>
                  <c:pt idx="44">
                    <c:v>2015</c:v>
                  </c:pt>
                  <c:pt idx="48">
                    <c:v>2016</c:v>
                  </c:pt>
                  <c:pt idx="52">
                    <c:v>2017 (1)</c:v>
                  </c:pt>
                  <c:pt idx="56">
                    <c:v>2018 (2)</c:v>
                  </c:pt>
                  <c:pt idx="60">
                    <c:v>2019 (2)</c:v>
                  </c:pt>
                </c:lvl>
              </c:multiLvlStrCache>
            </c:multiLvlStrRef>
          </c:cat>
          <c:val>
            <c:numRef>
              <c:f>Sheet3!$B$6:$BK$6</c:f>
              <c:numCache>
                <c:formatCode>0.00%</c:formatCode>
                <c:ptCount val="62"/>
                <c:pt idx="0">
                  <c:v>2.0348285442803232E-2</c:v>
                </c:pt>
                <c:pt idx="1">
                  <c:v>2.1551153112458699E-2</c:v>
                </c:pt>
                <c:pt idx="2">
                  <c:v>2.3003821685579576E-2</c:v>
                </c:pt>
                <c:pt idx="3">
                  <c:v>2.1535242954239833E-2</c:v>
                </c:pt>
                <c:pt idx="4">
                  <c:v>2.1564592668627487E-2</c:v>
                </c:pt>
                <c:pt idx="5">
                  <c:v>2.1836746445184945E-2</c:v>
                </c:pt>
                <c:pt idx="6">
                  <c:v>2.2611826000873875E-2</c:v>
                </c:pt>
                <c:pt idx="7">
                  <c:v>2.0683028575802339E-2</c:v>
                </c:pt>
                <c:pt idx="8">
                  <c:v>2.0989261829103965E-2</c:v>
                </c:pt>
                <c:pt idx="9">
                  <c:v>2.2344910733623664E-2</c:v>
                </c:pt>
                <c:pt idx="10">
                  <c:v>2.2786461772115435E-2</c:v>
                </c:pt>
                <c:pt idx="11">
                  <c:v>2.1045441419433885E-2</c:v>
                </c:pt>
                <c:pt idx="12">
                  <c:v>2.319169432608531E-2</c:v>
                </c:pt>
                <c:pt idx="13">
                  <c:v>2.4661504067274881E-2</c:v>
                </c:pt>
                <c:pt idx="14">
                  <c:v>2.371592478604247E-2</c:v>
                </c:pt>
                <c:pt idx="15">
                  <c:v>2.1185286136251393E-2</c:v>
                </c:pt>
                <c:pt idx="16">
                  <c:v>2.5316380182239646E-2</c:v>
                </c:pt>
                <c:pt idx="17">
                  <c:v>2.6314212033782983E-2</c:v>
                </c:pt>
                <c:pt idx="18">
                  <c:v>2.6937448295826876E-2</c:v>
                </c:pt>
                <c:pt idx="19">
                  <c:v>2.5820497948247353E-2</c:v>
                </c:pt>
                <c:pt idx="20">
                  <c:v>3.1293129960389902E-2</c:v>
                </c:pt>
                <c:pt idx="21">
                  <c:v>3.5349551214735458E-2</c:v>
                </c:pt>
                <c:pt idx="22">
                  <c:v>3.3571721908293911E-2</c:v>
                </c:pt>
                <c:pt idx="23">
                  <c:v>2.9533336624522774E-2</c:v>
                </c:pt>
                <c:pt idx="24">
                  <c:v>3.2689995299669129E-2</c:v>
                </c:pt>
                <c:pt idx="25">
                  <c:v>3.4930375520079826E-2</c:v>
                </c:pt>
                <c:pt idx="26">
                  <c:v>3.3901098509439925E-2</c:v>
                </c:pt>
                <c:pt idx="27">
                  <c:v>2.9687539431986758E-2</c:v>
                </c:pt>
                <c:pt idx="28">
                  <c:v>3.3582680331312759E-2</c:v>
                </c:pt>
                <c:pt idx="29">
                  <c:v>3.5682991876864634E-2</c:v>
                </c:pt>
                <c:pt idx="30">
                  <c:v>3.7340854493399071E-2</c:v>
                </c:pt>
                <c:pt idx="31">
                  <c:v>3.4675671423344712E-2</c:v>
                </c:pt>
                <c:pt idx="32">
                  <c:v>3.9296063246194529E-2</c:v>
                </c:pt>
                <c:pt idx="33">
                  <c:v>3.7270715826621274E-2</c:v>
                </c:pt>
                <c:pt idx="34">
                  <c:v>4.0532063820921956E-2</c:v>
                </c:pt>
                <c:pt idx="35">
                  <c:v>4.1051218731289085E-2</c:v>
                </c:pt>
                <c:pt idx="36">
                  <c:v>3.838449440196174E-2</c:v>
                </c:pt>
                <c:pt idx="37">
                  <c:v>3.9007892136649076E-2</c:v>
                </c:pt>
                <c:pt idx="38">
                  <c:v>4.2261834542808761E-2</c:v>
                </c:pt>
                <c:pt idx="39">
                  <c:v>4.2152188571657312E-2</c:v>
                </c:pt>
                <c:pt idx="40">
                  <c:v>3.7123985078553967E-2</c:v>
                </c:pt>
                <c:pt idx="41">
                  <c:v>3.6957248498841182E-2</c:v>
                </c:pt>
                <c:pt idx="42">
                  <c:v>4.2397455110367736E-2</c:v>
                </c:pt>
                <c:pt idx="43">
                  <c:v>4.4367945250582498E-2</c:v>
                </c:pt>
                <c:pt idx="44">
                  <c:v>4.3477965363768377E-2</c:v>
                </c:pt>
                <c:pt idx="45">
                  <c:v>4.4281706661007073E-2</c:v>
                </c:pt>
                <c:pt idx="46">
                  <c:v>4.1197120533489298E-2</c:v>
                </c:pt>
                <c:pt idx="47">
                  <c:v>3.9627881232460804E-2</c:v>
                </c:pt>
                <c:pt idx="48">
                  <c:v>4.3313362147948252E-2</c:v>
                </c:pt>
                <c:pt idx="49">
                  <c:v>4.5235975586517721E-2</c:v>
                </c:pt>
                <c:pt idx="50">
                  <c:v>4.5061151235108204E-2</c:v>
                </c:pt>
                <c:pt idx="51">
                  <c:v>4.1931102585688655E-2</c:v>
                </c:pt>
                <c:pt idx="52">
                  <c:v>4.6584509420282388E-2</c:v>
                </c:pt>
                <c:pt idx="53">
                  <c:v>4.7886971834511766E-2</c:v>
                </c:pt>
                <c:pt idx="54">
                  <c:v>4.5653539298490482E-2</c:v>
                </c:pt>
                <c:pt idx="55">
                  <c:v>4.1704430055589374E-2</c:v>
                </c:pt>
                <c:pt idx="56">
                  <c:v>4.5216343494250251E-2</c:v>
                </c:pt>
                <c:pt idx="57">
                  <c:v>4.6596480527808661E-2</c:v>
                </c:pt>
                <c:pt idx="58">
                  <c:v>4.4764157555777249E-2</c:v>
                </c:pt>
                <c:pt idx="59">
                  <c:v>4.1997674866796092E-2</c:v>
                </c:pt>
                <c:pt idx="60">
                  <c:v>4.3815204940717889E-2</c:v>
                </c:pt>
                <c:pt idx="61">
                  <c:v>4.4484012672974388E-2</c:v>
                </c:pt>
              </c:numCache>
            </c:numRef>
          </c:val>
          <c:smooth val="0"/>
          <c:extLst>
            <c:ext xmlns:c16="http://schemas.microsoft.com/office/drawing/2014/chart" uri="{C3380CC4-5D6E-409C-BE32-E72D297353CC}">
              <c16:uniqueId val="{00000000-97B0-4BAE-AACB-BE1023C3912F}"/>
            </c:ext>
          </c:extLst>
        </c:ser>
        <c:dLbls>
          <c:showLegendKey val="0"/>
          <c:showVal val="0"/>
          <c:showCatName val="0"/>
          <c:showSerName val="0"/>
          <c:showPercent val="0"/>
          <c:showBubbleSize val="0"/>
        </c:dLbls>
        <c:smooth val="0"/>
        <c:axId val="387062080"/>
        <c:axId val="387068312"/>
      </c:lineChart>
      <c:catAx>
        <c:axId val="38706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068312"/>
        <c:crosses val="autoZero"/>
        <c:auto val="1"/>
        <c:lblAlgn val="ctr"/>
        <c:lblOffset val="100"/>
        <c:noMultiLvlLbl val="0"/>
      </c:catAx>
      <c:valAx>
        <c:axId val="3870683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062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BC71-8ABD-42EB-B65B-F1DE2C900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Rozanec</dc:creator>
  <cp:keywords/>
  <dc:description/>
  <cp:lastModifiedBy>Matias Rozanec</cp:lastModifiedBy>
  <cp:revision>18</cp:revision>
  <cp:lastPrinted>2019-11-16T22:30:00Z</cp:lastPrinted>
  <dcterms:created xsi:type="dcterms:W3CDTF">2019-11-14T18:27:00Z</dcterms:created>
  <dcterms:modified xsi:type="dcterms:W3CDTF">2019-11-16T22:40:00Z</dcterms:modified>
</cp:coreProperties>
</file>