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 xml:space="preserve">Andijon tumani,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Andijon tumani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 bilan tasdiqlangan Nizomning 33-bandiga muvofiq quyidagilar ma’lum qilinadi.</w:t>
      </w:r>
    </w:p>
    <w:p>
      <w:pPr>
        <w:spacing w:before="0" w:after="40" w:line="240" w:lineRule="auto"/>
        <w:ind w:firstLine="709"/>
        <w:jc w:val="both"/>
      </w:pPr>
      <w:r>
        <w:rPr>
          <w:rFonts w:ascii="Times New Roman" w:hAnsi="Times New Roman"/>
          <w:b w:val="0"/>
          <w:i w:val="0"/>
          <w:sz w:val="28"/>
        </w:rPr>
        <w:t xml:space="preserve">Agar, oila a’zolariga to‘g‘ri keladigan o‘rtacha oylik daromad minimal iste’mol xarajatlaridan yuqori bo‘lsa, ortiqcha ko‘chmas mulk yoki daromad keltiruvchi noturar ob’ektlar mavjud bo‘lsa, belgilangan muddatdan yangi transport vositalari yoki bir nechta texnika vositalari bor bo‘lsa, shuningdek bank omonatlari yoki qimmatli qog‘ozlari belgilangan miqdordan ortiq bo‘lsa yoxud qonunchilikda nazarda tutilgan boshqa holatlar </w:t>
      </w:r>
      <w:r>
        <w:rPr>
          <w:rFonts w:ascii="Times New Roman" w:hAnsi="Times New Roman"/>
          <w:b w:val="0"/>
          <w:i/>
          <w:sz w:val="28"/>
        </w:rPr>
        <w:t>(jumladan, chet elga ko‘chib ketish, jinoyat uchun jazo o‘tash, internat muassasalariga joylashish, murojaat talablariga rioya qilmaslik yoki ariza beruvchining vafoti)</w:t>
      </w:r>
      <w:r>
        <w:rPr>
          <w:rFonts w:ascii="Times New Roman" w:hAnsi="Times New Roman"/>
          <w:b w:val="0"/>
          <w:i w:val="0"/>
          <w:sz w:val="28"/>
        </w:rPr>
        <w:t xml:space="preserve"> mavjud bo‘lganda kam ta’minlangan oilalarga bolalar nafaqasi yoki moddiy yordam tayinlash rad etilishi yoki to’xtatilishi belgilangan.</w:t>
      </w:r>
    </w:p>
    <w:p>
      <w:pPr>
        <w:spacing w:before="0" w:after="40" w:line="240" w:lineRule="auto"/>
        <w:ind w:firstLine="709"/>
        <w:jc w:val="both"/>
      </w:pPr>
      <w:r>
        <w:rPr>
          <w:rFonts w:ascii="Times New Roman" w:hAnsi="Times New Roman"/>
          <w:b/>
          <w:i w:val="0"/>
          <w:sz w:val="28"/>
        </w:rPr>
        <w:t>{fio}</w:t>
      </w:r>
      <w:r>
        <w:rPr>
          <w:rFonts w:ascii="Times New Roman" w:hAnsi="Times New Roman"/>
          <w:b w:val="0"/>
          <w:i w:val="0"/>
          <w:sz w:val="28"/>
        </w:rPr>
        <w:t xml:space="preserve"> sizning </w:t>
      </w:r>
      <w:r>
        <w:rPr>
          <w:rFonts w:ascii="Times New Roman" w:hAnsi="Times New Roman"/>
          <w:b/>
          <w:i w:val="0"/>
          <w:sz w:val="28"/>
        </w:rPr>
        <w:t>{ariza_sanasi}</w:t>
      </w:r>
      <w:r>
        <w:rPr>
          <w:rFonts w:ascii="Times New Roman" w:hAnsi="Times New Roman"/>
          <w:b w:val="0"/>
          <w:i w:val="0"/>
          <w:sz w:val="28"/>
        </w:rPr>
        <w:t xml:space="preserve"> kuni yuborgan </w:t>
      </w:r>
      <w:r>
        <w:rPr>
          <w:rFonts w:ascii="Times New Roman" w:hAnsi="Times New Roman"/>
          <w:b/>
          <w:i w:val="0"/>
          <w:sz w:val="28"/>
        </w:rPr>
        <w:t>{ariza_maqsadi}</w:t>
      </w:r>
      <w:r>
        <w:rPr>
          <w:rFonts w:ascii="Times New Roman" w:hAnsi="Times New Roman"/>
          <w:b w:val="0"/>
          <w:i w:val="0"/>
          <w:sz w:val="28"/>
        </w:rPr>
        <w:t xml:space="preserve"> tayinlash bo'yicha yuborgan arizangiz «Ijtimoiy himoya yagona reestri» axborot tizimiga </w:t>
      </w:r>
      <w:r>
        <w:rPr>
          <w:rFonts w:ascii="Times New Roman" w:hAnsi="Times New Roman"/>
          <w:b/>
          <w:i w:val="0"/>
          <w:sz w:val="28"/>
        </w:rPr>
        <w:t>{ariza_id}-ID</w:t>
      </w:r>
      <w:r>
        <w:rPr>
          <w:rFonts w:ascii="Times New Roman" w:hAnsi="Times New Roman"/>
          <w:b w:val="0"/>
          <w:i w:val="0"/>
          <w:sz w:val="28"/>
        </w:rPr>
        <w:t xml:space="preserve"> raqam bilan kiritilgan va </w:t>
      </w:r>
      <w:r>
        <w:rPr>
          <w:rFonts w:ascii="Times New Roman" w:hAnsi="Times New Roman"/>
          <w:b/>
          <w:i w:val="0"/>
          <w:sz w:val="28"/>
        </w:rPr>
        <w:t>{ariza_maqsadi}</w:t>
      </w:r>
      <w:r>
        <w:rPr>
          <w:rFonts w:ascii="Times New Roman" w:hAnsi="Times New Roman"/>
          <w:b w:val="0"/>
          <w:i w:val="0"/>
          <w:sz w:val="28"/>
        </w:rPr>
        <w:t xml:space="preserve"> tayinlangan hamda Kambag'al oila toifasiga kiritilgan.</w:t>
      </w:r>
    </w:p>
    <w:p>
      <w:pPr>
        <w:spacing w:before="0" w:after="40" w:line="240" w:lineRule="auto"/>
        <w:ind w:firstLine="709"/>
        <w:jc w:val="both"/>
      </w:pPr>
      <w:r>
        <w:rPr>
          <w:rFonts w:ascii="Times New Roman" w:hAnsi="Times New Roman"/>
          <w:b w:val="0"/>
          <w:i w:val="0"/>
          <w:sz w:val="28"/>
        </w:rPr>
        <w:t>{?tayinlashQoshimcha}</w:t>
      </w:r>
      <w:r>
        <w:rPr>
          <w:rFonts w:ascii="Times New Roman" w:hAnsi="Times New Roman"/>
          <w:b w:val="0"/>
          <w:i w:val="0"/>
          <w:sz w:val="28"/>
        </w:rPr>
        <w:t>{tayinlash_qoshimcha}</w:t>
      </w:r>
    </w:p>
    <w:p>
      <w:pPr>
        <w:spacing w:before="0" w:after="40" w:line="240" w:lineRule="auto"/>
        <w:ind w:firstLine="709"/>
        <w:jc w:val="both"/>
      </w:pPr>
      <w:r>
        <w:rPr>
          <w:rFonts w:ascii="Times New Roman" w:hAnsi="Times New Roman"/>
          <w:b/>
          <w:i w:val="0"/>
          <w:sz w:val="28"/>
        </w:rPr>
        <w:t>Bolalar nafaqasi yoki moddiy yordam to‘lovi Xalq bankining filiallari tomonidan belgilangan tartibda to‘lov oyining 4-sanasidan 27-sanasiga qadar amalga oshiriladi.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