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Rozine underwriting and secondary trading decisions</w:t>
      </w:r>
    </w:p>
    <w:p>
      <w:pPr>
        <w:pStyle w:val="Subtitle"/>
      </w:pPr>
      <w:r>
        <w:t>Responses and remaining confirmations</w:t>
      </w:r>
    </w:p>
    <w:p>
      <w:r>
        <w:rPr>
          <w:rFonts w:ascii="Arial" w:hAnsi="Arial"/>
          <w:b/>
          <w:color w:val="000000"/>
        </w:rPr>
        <w:t>To:</w:t>
      </w:r>
      <w:r>
        <w:rPr>
          <w:rFonts w:ascii="Arial" w:hAnsi="Arial"/>
          <w:b w:val="0"/>
          <w:color w:val="000000"/>
        </w:rPr>
        <w:t xml:space="preserve"> Robert and Kimani</w:t>
        <w:br/>
      </w:r>
      <w:r>
        <w:rPr>
          <w:rFonts w:ascii="Arial" w:hAnsi="Arial"/>
          <w:b/>
          <w:color w:val="000000"/>
        </w:rPr>
        <w:t>From:</w:t>
      </w:r>
      <w:r>
        <w:rPr>
          <w:rFonts w:ascii="Arial" w:hAnsi="Arial"/>
          <w:b w:val="0"/>
          <w:color w:val="000000"/>
        </w:rPr>
        <w:t xml:space="preserve"> Hussain Aminu</w:t>
        <w:br/>
      </w:r>
      <w:r>
        <w:rPr>
          <w:rFonts w:ascii="Arial" w:hAnsi="Arial"/>
          <w:b/>
          <w:color w:val="000000"/>
        </w:rPr>
        <w:t>Date:</w:t>
      </w:r>
      <w:r>
        <w:rPr>
          <w:rFonts w:ascii="Arial" w:hAnsi="Arial"/>
          <w:b w:val="0"/>
          <w:color w:val="000000"/>
        </w:rPr>
        <w:t xml:space="preserve"> 17 September 2026</w:t>
        <w:br/>
      </w:r>
      <w:r>
        <w:rPr>
          <w:rFonts w:ascii="Arial" w:hAnsi="Arial"/>
          <w:b/>
          <w:color w:val="000000"/>
        </w:rPr>
        <w:t>Reference:</w:t>
      </w:r>
      <w:r>
        <w:rPr>
          <w:rFonts w:ascii="Arial" w:hAnsi="Arial"/>
          <w:b w:val="0"/>
          <w:color w:val="000000"/>
        </w:rPr>
        <w:t xml:space="preserve"> response-2026-09-17.1</w:t>
      </w:r>
    </w:p>
    <w:p>
      <w:r>
        <w:rPr>
          <w:rFonts w:ascii="Arial" w:hAnsi="Arial"/>
          <w:b w:val="0"/>
          <w:color w:val="000000"/>
        </w:rPr>
        <w:t>Thank you for the decisions and explanations shared on 17 September. I have recorded the clear choices and grouped the remaining points into Q01 to Q12. Please confirm the wording or propose changes so we can update the requirements and prepare the implementation contracts.</w:t>
      </w:r>
    </w:p>
    <w:p>
      <w:r>
        <w:rPr>
          <w:rFonts w:ascii="Arial" w:hAnsi="Arial"/>
          <w:b/>
          <w:color w:val="000000"/>
        </w:rPr>
        <w:t>Action requested:</w:t>
      </w:r>
      <w:r>
        <w:rPr>
          <w:rFonts w:ascii="Arial" w:hAnsi="Arial"/>
          <w:b w:val="0"/>
          <w:color w:val="000000"/>
        </w:rPr>
        <w:t xml:space="preserve"> Review the recorded responses, then answer the questions that relate to your role. Robert will confirm Product, Business and internal Legal decisions; Kimani will confirm Finance, Risk, Compliance and Audit Operations decisions. Please identify any point that remains open.</w:t>
      </w:r>
    </w:p>
    <w:p>
      <w:r>
        <w:rPr>
          <w:rFonts w:ascii="Arial" w:hAnsi="Arial"/>
          <w:b/>
          <w:color w:val="000000"/>
        </w:rPr>
        <w:t>Policy status:</w:t>
      </w:r>
      <w:r>
        <w:rPr>
          <w:rFonts w:ascii="Arial" w:hAnsi="Arial"/>
          <w:b w:val="0"/>
          <w:color w:val="000000"/>
        </w:rPr>
        <w:t xml:space="preserve"> Choices have been recorded, but the revised policy has not been activated. Its effective version and date are not set. Required technical, independent and external approvals remain separate. Existing issued terms and historical evidence remain protected.</w:t>
      </w:r>
    </w:p>
    <w:p>
      <w:r>
        <w:rPr>
          <w:rFonts w:ascii="Arial" w:hAnsi="Arial"/>
          <w:b w:val="0"/>
          <w:color w:val="000000"/>
        </w:rPr>
        <w:t>This review follows the underwriting and secondary-market proposals dated 10 September 2026. Recommendations below are for confirmation; they are not additional decisions attributed to either of you.</w:t>
      </w:r>
    </w:p>
    <w:p>
      <w:pPr>
        <w:pStyle w:val="Heading1"/>
      </w:pPr>
      <w:r>
        <w:t>1 Recorded responses</w:t>
      </w:r>
    </w:p>
    <w:p>
      <w:r>
        <w:rPr>
          <w:rFonts w:ascii="Arial" w:hAnsi="Arial"/>
          <w:b/>
          <w:color w:val="000000"/>
        </w:rPr>
        <w:t>Status key:</w:t>
      </w:r>
      <w:r>
        <w:rPr>
          <w:rFonts w:ascii="Arial" w:hAnsi="Arial"/>
          <w:b w:val="0"/>
          <w:color w:val="000000"/>
        </w:rPr>
        <w:t xml:space="preserve"> Choice captured means an explicit choice with any remaining scope listed. Question open means no final rule has been selected. Change requested means replacement details are needed. Partial answer means the original question is not fully resolved.</w:t>
      </w:r>
    </w:p>
    <w:p>
      <w:pPr>
        <w:pStyle w:val="Heading2"/>
      </w:pPr>
      <w:r>
        <w:t>Underwriting and shared assumptions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960"/>
        <w:gridCol w:w="4507"/>
      </w:tblGrid>
      <w:tr>
        <w:trPr>
          <w:cantSplit/>
          <w:tblHeader/>
        </w:trPr>
        <w:tc>
          <w:tcPr>
            <w:tcW w:type="dxa" w:w="1613"/>
            <w:vAlign w:val="center"/>
            <w:tcMar>
              <w:top w:w="85" w:type="dxa"/>
              <w:bottom w:w="85" w:type="dxa"/>
              <w:left w:w="95" w:type="dxa"/>
              <w:right w:w="95" w:type="dxa"/>
            </w:tcMar>
            <w:shd w:fill="E8EFF5"/>
          </w:tcPr>
          <w:p>
            <w:pPr>
              <w:keepNext/>
              <w:spacing w:line="252" w:lineRule="auto" w:after="0"/>
              <w:jc w:val="center"/>
            </w:pPr>
            <w:r>
              <w:rPr>
                <w:rFonts w:ascii="Arial" w:hAnsi="Arial"/>
                <w:b/>
                <w:color w:val="000000"/>
                <w:sz w:val="20"/>
              </w:rPr>
              <w:t>Rule and status</w:t>
            </w:r>
          </w:p>
        </w:tc>
        <w:tc>
          <w:tcPr>
            <w:tcW w:type="dxa" w:w="3960"/>
            <w:vAlign w:val="center"/>
            <w:tcMar>
              <w:top w:w="85" w:type="dxa"/>
              <w:bottom w:w="85" w:type="dxa"/>
              <w:left w:w="95" w:type="dxa"/>
              <w:right w:w="95" w:type="dxa"/>
            </w:tcMar>
            <w:shd w:fill="E8EFF5"/>
          </w:tcPr>
          <w:p>
            <w:pPr>
              <w:keepNext/>
              <w:spacing w:line="252" w:lineRule="auto" w:after="0"/>
            </w:pPr>
            <w:r>
              <w:rPr>
                <w:rFonts w:ascii="Arial" w:hAnsi="Arial"/>
                <w:b/>
                <w:color w:val="000000"/>
                <w:sz w:val="20"/>
              </w:rPr>
              <w:t>Recorded response</w:t>
            </w:r>
          </w:p>
        </w:tc>
        <w:tc>
          <w:tcPr>
            <w:tcW w:type="dxa" w:w="4507"/>
            <w:vAlign w:val="center"/>
            <w:tcMar>
              <w:top w:w="85" w:type="dxa"/>
              <w:bottom w:w="85" w:type="dxa"/>
              <w:left w:w="95" w:type="dxa"/>
              <w:right w:w="95" w:type="dxa"/>
            </w:tcMar>
            <w:shd w:fill="E8EFF5"/>
          </w:tcPr>
          <w:p>
            <w:pPr>
              <w:keepNext/>
              <w:spacing w:line="252" w:lineRule="auto" w:after="0"/>
            </w:pPr>
            <w:r>
              <w:rPr>
                <w:rFonts w:ascii="Arial" w:hAnsi="Arial"/>
                <w:b/>
                <w:color w:val="000000"/>
                <w:sz w:val="20"/>
              </w:rPr>
              <w:t>Remaining boundary or reply</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TENOR</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Shortest term 3 months; longest 6 months, not 12.</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Exact permitted set and effective scope: Q01. Amends BR-20 and dependent schedules/pricing examples.</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HISTORY</w:t>
            </w:r>
            <w:r>
              <w:rPr>
                <w:rFonts w:ascii="Arial" w:hAnsi="Arial"/>
                <w:b w:val="0"/>
                <w:color w:val="000000"/>
                <w:sz w:val="20"/>
              </w:rPr>
              <w:br/>
              <w:t>Question open</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Five-year accounting is cited as the reason seasonal high months can be understood.</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Mandatory eligibility history or optional context? Contradicts D-14's recorded window/retention policy: Q04.</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UW-R01</w:t>
            </w:r>
            <w:r>
              <w:rPr>
                <w:rFonts w:ascii="Arial" w:hAnsi="Arial"/>
                <w:b w:val="0"/>
                <w:color w:val="000000"/>
                <w:sz w:val="20"/>
              </w:rPr>
              <w:br/>
              <w:t>Question open</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Would treating owner withdrawals as costs simplify auditing without harm?</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Recognize the cash consumption once; distinguish distributions from operating expense and select the measurement rule: Q02.</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UW-R02</w:t>
            </w:r>
            <w:r>
              <w:rPr>
                <w:rFonts w:ascii="Arial" w:hAnsi="Arial"/>
                <w:b w:val="0"/>
                <w:color w:val="000000"/>
                <w:sz w:val="20"/>
              </w:rPr>
              <w:br/>
              <w:t>Question open</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Would CRB integration make existing-debt assessment easier, and how would it solve the problem?</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Evidence source is not the debt-service algorithm; access, completeness and obligation-calendar choices: Q03.</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UW-R03</w:t>
            </w:r>
            <w:r>
              <w:rPr>
                <w:rFonts w:ascii="Arial" w:hAnsi="Arial"/>
                <w:b w:val="0"/>
                <w:color w:val="000000"/>
                <w:sz w:val="20"/>
              </w:rPr>
              <w:br/>
              <w:t>Question open</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Why exclude high months when they reflect genuine seasonality across a long history?</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Distinguish recurring seasonality from exceptional receipts; select and validate the capacity algorithm/window: Q04.</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UW-R04</w:t>
            </w:r>
            <w:r>
              <w:rPr>
                <w:rFonts w:ascii="Arial" w:hAnsi="Arial"/>
                <w:b w:val="0"/>
                <w:color w:val="000000"/>
                <w:sz w:val="20"/>
              </w:rPr>
              <w:br/>
              <w:t>Partial answer</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Reject DSCR below 1.25 without flexibility.</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Strict DSCR choice captured, but the original question was Coverage precision. Resizing/manual-route boundaries also need resolution: Q05.</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UW-R05</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RWF 3M floor, RWF 100M ceiling and 35% of annual revenue as cap.</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Revenue definition, per-Note versus aggregate exposure and below-floor handling: Q06.</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UW-R06</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Unaccepted offers expire/recalculate; issued terms and bought rating/return/schedule stay fixed; retain evidence and reject stale overwrites.</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Accepted-but-not-issued state and effective event scope: Q07. Issue snapshots remain distinct from current monitoring.</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UW-R07</w:t>
            </w:r>
            <w:r>
              <w:rPr>
                <w:rFonts w:ascii="Arial" w:hAnsi="Arial"/>
                <w:b w:val="0"/>
                <w:color w:val="000000"/>
                <w:sz w:val="20"/>
              </w:rPr>
              <w:br/>
              <w:t>Change requested</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Keep the shape/three rows, but shorten periods to address problems sooner.</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Identify the rows; supply exact escalation/cure periods and authority: Q08. No new default timer inferred.</w:t>
            </w:r>
          </w:p>
        </w:tc>
      </w:tr>
    </w:tbl>
    <w:p>
      <w:pPr>
        <w:spacing w:after="40"/>
      </w:pPr>
    </w:p>
    <w:p>
      <w:pPr>
        <w:pStyle w:val="Heading2"/>
      </w:pPr>
      <w:r>
        <w:t>Secondary trading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960"/>
        <w:gridCol w:w="4507"/>
      </w:tblGrid>
      <w:tr>
        <w:trPr>
          <w:cantSplit/>
          <w:tblHeader/>
        </w:trPr>
        <w:tc>
          <w:tcPr>
            <w:tcW w:type="dxa" w:w="1613"/>
            <w:vAlign w:val="center"/>
            <w:tcMar>
              <w:top w:w="85" w:type="dxa"/>
              <w:bottom w:w="85" w:type="dxa"/>
              <w:left w:w="95" w:type="dxa"/>
              <w:right w:w="95" w:type="dxa"/>
            </w:tcMar>
            <w:shd w:fill="E8EFF5"/>
          </w:tcPr>
          <w:p>
            <w:pPr>
              <w:keepNext/>
              <w:spacing w:line="252" w:lineRule="auto" w:after="0"/>
              <w:jc w:val="center"/>
            </w:pPr>
            <w:r>
              <w:rPr>
                <w:rFonts w:ascii="Arial" w:hAnsi="Arial"/>
                <w:b/>
                <w:color w:val="000000"/>
                <w:sz w:val="20"/>
              </w:rPr>
              <w:t>Rule and status</w:t>
            </w:r>
          </w:p>
        </w:tc>
        <w:tc>
          <w:tcPr>
            <w:tcW w:type="dxa" w:w="3960"/>
            <w:vAlign w:val="center"/>
            <w:tcMar>
              <w:top w:w="85" w:type="dxa"/>
              <w:bottom w:w="85" w:type="dxa"/>
              <w:left w:w="95" w:type="dxa"/>
              <w:right w:w="95" w:type="dxa"/>
            </w:tcMar>
            <w:shd w:fill="E8EFF5"/>
          </w:tcPr>
          <w:p>
            <w:pPr>
              <w:keepNext/>
              <w:spacing w:line="252" w:lineRule="auto" w:after="0"/>
            </w:pPr>
            <w:r>
              <w:rPr>
                <w:rFonts w:ascii="Arial" w:hAnsi="Arial"/>
                <w:b/>
                <w:color w:val="000000"/>
                <w:sz w:val="20"/>
              </w:rPr>
              <w:t>Recorded response</w:t>
            </w:r>
          </w:p>
        </w:tc>
        <w:tc>
          <w:tcPr>
            <w:tcW w:type="dxa" w:w="4507"/>
            <w:vAlign w:val="center"/>
            <w:tcMar>
              <w:top w:w="85" w:type="dxa"/>
              <w:bottom w:w="85" w:type="dxa"/>
              <w:left w:w="95" w:type="dxa"/>
              <w:right w:w="95" w:type="dxa"/>
            </w:tcMar>
            <w:shd w:fill="E8EFF5"/>
          </w:tcPr>
          <w:p>
            <w:pPr>
              <w:keepNext/>
              <w:spacing w:line="252" w:lineRule="auto" w:after="0"/>
            </w:pPr>
            <w:r>
              <w:rPr>
                <w:rFonts w:ascii="Arial" w:hAnsi="Arial"/>
                <w:b/>
                <w:color w:val="000000"/>
                <w:sz w:val="20"/>
              </w:rPr>
              <w:t>Remaining boundary or reply</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SEC-R01</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Smaller buyers may purchase part of a larger seller's position; unsold units remain with the seller.</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Partial-fill direction replaces the all-or-nothing proposal. Quantity/reservation/remainder contract: Q09.</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SEC-R02</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Seven-day listing expiry is acceptable; asks why not keep listings until repayment and mentions a possible four-month rule.</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Expiry rationale and clarification of the unverified four-month assumption: Q09. No lifetime listing or maturity cutoff selected.</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SEC-R03</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Five-minute reservation, with the money already in the wallet.</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Use settled available funds, including the applicable buyer fee; apply reservations to selected units under Q09/Q10.</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SEC-R04</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Seller ask may not exceed what the Note will pay; discounts allowed. Intended as investor protection, not platform market making.</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Remaining transferable entitlements, gross/net and all-in buyer cost: Q10. External legal characterization remains separate.</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SEC-R05</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Charge 0.5% taker and 0.2% maker to support trading activity.</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Amend BR-62/64 and the seller-only fee contract; define roles, base, rounding and effective scope: Q10.</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SEC-R06</w:t>
            </w:r>
            <w:r>
              <w:rPr>
                <w:rFonts w:ascii="Arial" w:hAnsi="Arial"/>
                <w:b w:val="0"/>
                <w:color w:val="000000"/>
                <w:sz w:val="20"/>
              </w:rPr>
              <w:br/>
              <w:t>Question open</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Questions exclusion of small near-maturity holdings and asks what a RWF 1,000 secondary floor would allow.</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Confirm a minimum executed consideration, not a unit face value; decide residual treatment: Q11.</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SEC-R07</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Adopt the 00:00 cutoff on ordinary days, Sundays and holidays.</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Africa/Kigali holder-of-record cutoff; does not independently decide D-23 holiday adjustments to contractual due dates.</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SEC-R08</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Approves the proposed rule.</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Refers to the supplied proposal: halt/eligibility loss suspends affected uncommitted orders, releases reservations and requires explicit relisting after clearance; no automatic reactivation.</w:t>
            </w:r>
          </w:p>
        </w:tc>
      </w:tr>
      <w:tr>
        <w:trPr>
          <w:cantSplit/>
        </w:trPr>
        <w:tc>
          <w:tcPr>
            <w:tcW w:type="dxa" w:w="1613"/>
            <w:vAlign w:val="center"/>
            <w:tcMar>
              <w:top w:w="85" w:type="dxa"/>
              <w:bottom w:w="85" w:type="dxa"/>
              <w:left w:w="95" w:type="dxa"/>
              <w:right w:w="95" w:type="dxa"/>
            </w:tcMar>
            <w:shd w:fill="FFFFFF"/>
          </w:tcPr>
          <w:p>
            <w:pPr>
              <w:keepNext w:val="0"/>
              <w:spacing w:line="252" w:lineRule="auto" w:after="0"/>
              <w:jc w:val="center"/>
            </w:pPr>
            <w:r>
              <w:rPr>
                <w:rFonts w:ascii="Arial" w:hAnsi="Arial"/>
                <w:b/>
                <w:color w:val="000000"/>
                <w:sz w:val="20"/>
              </w:rPr>
              <w:t>SEC-R09</w:t>
            </w:r>
            <w:r>
              <w:rPr>
                <w:rFonts w:ascii="Arial" w:hAnsi="Arial"/>
                <w:b w:val="0"/>
                <w:color w:val="000000"/>
                <w:sz w:val="20"/>
              </w:rPr>
              <w:br/>
              <w:t>Choice captured</w:t>
            </w:r>
          </w:p>
        </w:tc>
        <w:tc>
          <w:tcPr>
            <w:tcW w:type="dxa" w:w="3960"/>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No seller cancellation/edit during buyer reservation; show five-minute expiry. Admin cancellation needs a recorded reason.</w:t>
            </w:r>
          </w:p>
        </w:tc>
        <w:tc>
          <w:tcPr>
            <w:tcW w:type="dxa" w:w="4507"/>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Authorized admin only; decide handling of an unreserved remainder during partial fills: Q09.</w:t>
            </w:r>
          </w:p>
        </w:tc>
      </w:tr>
      <w:tr>
        <w:trPr>
          <w:cantSplit/>
        </w:trPr>
        <w:tc>
          <w:tcPr>
            <w:tcW w:type="dxa" w:w="1613"/>
            <w:vAlign w:val="center"/>
            <w:tcMar>
              <w:top w:w="85" w:type="dxa"/>
              <w:bottom w:w="85" w:type="dxa"/>
              <w:left w:w="95" w:type="dxa"/>
              <w:right w:w="95" w:type="dxa"/>
            </w:tcMar>
            <w:shd w:fill="F7F9FB"/>
          </w:tcPr>
          <w:p>
            <w:pPr>
              <w:keepNext w:val="0"/>
              <w:spacing w:line="252" w:lineRule="auto" w:after="0"/>
              <w:jc w:val="center"/>
            </w:pPr>
            <w:r>
              <w:rPr>
                <w:rFonts w:ascii="Arial" w:hAnsi="Arial"/>
                <w:b/>
                <w:color w:val="000000"/>
                <w:sz w:val="20"/>
              </w:rPr>
              <w:t>SEC-R10</w:t>
            </w:r>
            <w:r>
              <w:rPr>
                <w:rFonts w:ascii="Arial" w:hAnsi="Arial"/>
                <w:b w:val="0"/>
                <w:color w:val="000000"/>
                <w:sz w:val="20"/>
              </w:rPr>
              <w:br/>
              <w:t>Change requested</w:t>
            </w:r>
          </w:p>
        </w:tc>
        <w:tc>
          <w:tcPr>
            <w:tcW w:type="dxa" w:w="3960"/>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Avoid unfair restrictions; permit legitimate activity and define malicious conduct clearly.</w:t>
            </w:r>
          </w:p>
        </w:tc>
        <w:tc>
          <w:tcPr>
            <w:tcW w:type="dxa" w:w="4507"/>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Existing activity thresholds are review-only, not penalties. Approve conduct definitions and proportionate case handling: Q12.</w:t>
            </w:r>
          </w:p>
        </w:tc>
      </w:tr>
    </w:tbl>
    <w:p>
      <w:pPr>
        <w:spacing w:after="40"/>
      </w:pPr>
    </w:p>
    <w:p>
      <w:pPr>
        <w:pStyle w:val="Heading1"/>
      </w:pPr>
      <w:r>
        <w:t>2 Questions and proposed replies</w:t>
      </w:r>
    </w:p>
    <w:p>
      <w:r>
        <w:rPr>
          <w:rFonts w:ascii="Arial" w:hAnsi="Arial"/>
          <w:b w:val="0"/>
          <w:color w:val="000000"/>
        </w:rPr>
        <w:t xml:space="preserve">Recommendations in this section are </w:t>
      </w:r>
      <w:r>
        <w:rPr>
          <w:rFonts w:ascii="Arial" w:hAnsi="Arial"/>
          <w:b/>
          <w:color w:val="000000"/>
        </w:rPr>
        <w:t>proposed wording for confirmation</w:t>
      </w:r>
      <w:r>
        <w:rPr>
          <w:rFonts w:ascii="Arial" w:hAnsi="Arial"/>
          <w:b w:val="0"/>
          <w:color w:val="000000"/>
        </w:rPr>
        <w:t>, not additional approvals attributed to either stakeholder. Robert owns Product/Business/internal Legal; Kimani owns Finance/Risk/Compliance/Audit Operations. Aminu and Erastus subsequently review executable contracts and acceptance evidence.</w:t>
      </w:r>
    </w:p>
    <w:p>
      <w:bookmarkStart w:id="01" w:name="Q01"/>
      <w:pPr>
        <w:pStyle w:val="Heading2"/>
      </w:pPr>
      <w:r>
        <w:t>Q01 Permitted terms and effective scope</w:t>
      </w:r>
      <w:bookmarkEnd w:id="01"/>
    </w:p>
    <w:p>
      <w:pPr>
        <w:keepNext/>
      </w:pPr>
      <w:r>
        <w:rPr>
          <w:rFonts w:ascii="Arial" w:hAnsi="Arial"/>
          <w:b/>
          <w:color w:val="000000"/>
        </w:rPr>
        <w:t>Robert + Kimani:</w:t>
      </w:r>
      <w:r>
        <w:rPr>
          <w:rFonts w:ascii="Arial" w:hAnsi="Arial"/>
          <w:b w:val="0"/>
          <w:color w:val="000000"/>
        </w:rPr>
        <w:t xml:space="preserve"> Are permitted tenors exactly </w:t>
      </w:r>
      <w:r>
        <w:rPr>
          <w:rFonts w:ascii="Arial" w:hAnsi="Arial"/>
          <w:b/>
          <w:color w:val="000000"/>
        </w:rPr>
        <w:t>3 and 6 months</w:t>
      </w:r>
      <w:r>
        <w:rPr>
          <w:rFonts w:ascii="Arial" w:hAnsi="Arial"/>
          <w:b w:val="0"/>
          <w:color w:val="000000"/>
        </w:rPr>
        <w:t xml:space="preserve">, or every whole month </w:t>
      </w:r>
      <w:r>
        <w:rPr>
          <w:rFonts w:ascii="Arial" w:hAnsi="Arial"/>
          <w:b/>
          <w:color w:val="000000"/>
        </w:rPr>
        <w:t>3, 4, 5 and 6</w:t>
      </w:r>
      <w:r>
        <w:rPr>
          <w:rFonts w:ascii="Arial" w:hAnsi="Arial"/>
          <w:b w:val="0"/>
          <w:color w:val="000000"/>
        </w:rPr>
        <w:t>? State the effective policy version/date and treatment of in-flight applications/offers. Issued contractual schedules must remain unchanged under UW-R06. This message does not independently change the 10–15% flat-return policy or select new pricing premiums.</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02" w:name="Q02"/>
      <w:pPr>
        <w:pStyle w:val="Heading2"/>
      </w:pPr>
      <w:r>
        <w:t>Q02 Owner withdrawal treatment</w:t>
      </w:r>
      <w:bookmarkEnd w:id="02"/>
    </w:p>
    <w:p>
      <w:r>
        <w:rPr>
          <w:rFonts w:ascii="Arial" w:hAnsi="Arial"/>
          <w:b w:val="0"/>
          <w:color w:val="000000"/>
        </w:rPr>
        <w:t xml:space="preserve">Yes: owner cash consumption belongs in affordability. The proposed formula already subtracts </w:t>
      </w:r>
      <w:r>
        <w:rPr>
          <w:rFonts w:ascii="Arial" w:hAnsi="Arial"/>
          <w:b w:val="0"/>
          <w:color w:val="000000"/>
        </w:rPr>
        <w:t>OwnerDraw</w:t>
      </w:r>
      <w:r>
        <w:rPr>
          <w:rFonts w:ascii="Arial" w:hAnsi="Arial"/>
          <w:b w:val="0"/>
          <w:color w:val="000000"/>
        </w:rPr>
        <w:t xml:space="preserve"> after operating cash flow. Keep distributions separately identifiable instead of relabelling every withdrawal as an operating expense; an owner salary already included in operating expense must not be deducted again. Transfers between the Business's own accounts are not automatically owner withdrawals. Missing evidence is not zero.</w:t>
      </w:r>
    </w:p>
    <w:p>
      <w:pPr>
        <w:keepNext/>
      </w:pPr>
      <w:r>
        <w:rPr>
          <w:rFonts w:ascii="Arial" w:hAnsi="Arial"/>
          <w:b/>
          <w:color w:val="000000"/>
        </w:rPr>
        <w:t>Kimani + Robert:</w:t>
      </w:r>
      <w:r>
        <w:rPr>
          <w:rFonts w:ascii="Arial" w:hAnsi="Arial"/>
          <w:b w:val="0"/>
          <w:color w:val="000000"/>
        </w:rPr>
        <w:t xml:space="preserve"> Confirm or replace the proposed amount: the greater of the verified-window monthly mean and an evidenced recurring monthly withdrawal commitment. Confirm treatment of one-off distributions, reversals and exceptions. This preserves audit traceability without silently changing operating-margin or score inputs.</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03" w:name="Q03"/>
      <w:pPr>
        <w:pStyle w:val="Heading2"/>
      </w:pPr>
      <w:r>
        <w:t>Q03 CRB evidence and debt service calculation</w:t>
      </w:r>
      <w:bookmarkEnd w:id="03"/>
    </w:p>
    <w:p>
      <w:r>
        <w:rPr>
          <w:rFonts w:ascii="Arial" w:hAnsi="Arial"/>
          <w:b w:val="0"/>
          <w:color w:val="000000"/>
        </w:rPr>
        <w:t xml:space="preserve">CRB can help discover and corroborate liabilities and repayment behaviour. TransUnion advertises a consumer credit product with outstanding-loan/repayment information and Rwanda webservice/API availability. That is not proof of Rozine's access, commercial-Business coverage, a complete forward schedule or a contracted integration. </w:t>
      </w:r>
      <w:hyperlink r:id="rId9">
        <w:r>
          <w:rPr>
            <w:color w:val="174A73"/>
            <w:u w:val="single"/>
          </w:rPr>
          <w:t>Provider source, checked 17 September 2026</w:t>
        </w:r>
      </w:hyperlink>
      <w:r>
        <w:rPr>
          <w:rFonts w:ascii="Arial" w:hAnsi="Arial"/>
          <w:b w:val="0"/>
          <w:color w:val="000000"/>
        </w:rPr>
        <w:t>.</w:t>
      </w:r>
    </w:p>
    <w:p>
      <w:r>
        <w:rPr>
          <w:rFonts w:ascii="Arial" w:hAnsi="Arial"/>
          <w:b w:val="0"/>
          <w:color w:val="000000"/>
        </w:rPr>
        <w:t>Recommended evidence flow: combine an authorized bureau lookup with creditor contracts/statements and internal Rozine obligations. Reconcile and deduplicate the debt, verify principal, interest, mandatory charges and due dates, then apply the selected capacity rule. Do not treat a no-hit, stale record or disputed schedule as zero debt. Provider onboarding, lawful access/consent, retention, freshness and outage handling require separate confirmation; no live lookup or onboarding is authorized by this sheet.</w:t>
      </w:r>
    </w:p>
    <w:p>
      <w:pPr>
        <w:keepNext/>
      </w:pPr>
      <w:r>
        <w:rPr>
          <w:rFonts w:ascii="Arial" w:hAnsi="Arial"/>
          <w:b/>
          <w:color w:val="000000"/>
        </w:rPr>
        <w:t>Kimani + Robert:</w:t>
      </w:r>
      <w:r>
        <w:rPr>
          <w:rFonts w:ascii="Arial" w:hAnsi="Arial"/>
          <w:b w:val="0"/>
          <w:color w:val="000000"/>
        </w:rPr>
        <w:t xml:space="preserve"> Choose the debt-service method: the original conservative method using the greater of the historical monthly mean and the largest contractual month within the proposed loan tenor, or a specified month-by-month affordability method. Confirm the evidence fallback and designate the provider-contact owner. CRB integration does not select this method for us.</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04" w:name="Q04"/>
      <w:pPr>
        <w:pStyle w:val="Heading2"/>
      </w:pPr>
      <w:r>
        <w:t>Q04 History and genuine seasonality</w:t>
      </w:r>
      <w:bookmarkEnd w:id="04"/>
    </w:p>
    <w:p>
      <w:r>
        <w:rPr>
          <w:rFonts w:ascii="Arial" w:hAnsi="Arial"/>
          <w:b w:val="0"/>
          <w:color w:val="000000"/>
        </w:rPr>
        <w:t>Recurring seasonal peaks should not automatically be treated as abnormal windfalls. The original upper-tail adjustment was an uncalibrated review candidate, not a proven model. Equally, a five-year average can hide a cash shortage during a three- or six-month repayment period.</w:t>
      </w:r>
    </w:p>
    <w:p>
      <w:r>
        <w:rPr>
          <w:rFonts w:ascii="Arial" w:hAnsi="Arial"/>
          <w:b w:val="0"/>
          <w:color w:val="000000"/>
        </w:rPr>
        <w:t>Recommended direction for risk review: retain original observations, distinguish evidenced seasonal cycles from exceptional receipts, and assess the actual repayment-period cash profile and downside. This is not a signed replacement formula, a new bullet-payment schedule or permission to omit low months.</w:t>
      </w:r>
    </w:p>
    <w:p>
      <w:pPr>
        <w:keepNext/>
      </w:pPr>
      <w:r>
        <w:rPr>
          <w:rFonts w:ascii="Arial" w:hAnsi="Arial"/>
          <w:b/>
          <w:color w:val="000000"/>
        </w:rPr>
        <w:t>Kimani + Robert:</w:t>
      </w:r>
      <w:r>
        <w:rPr>
          <w:rFonts w:ascii="Arial" w:hAnsi="Arial"/>
          <w:b w:val="0"/>
          <w:color w:val="000000"/>
        </w:rPr>
        <w:t xml:space="preserve"> Is five years mandatory for eligibility or optional contextual history? D-14 currently records at least six complete consecutive months, manual-only at 6–11, twelve required for seasonal/restarted/material-event cases, possible auto review at 12+, and at most twenty-four months accepted/retained. Decide the exact new eligibility minimum, retained history, current calculation window and seasonal algorithm, including insufficient-history cases. Approve representative examples/sensitivity review before calibration or acceptance is claimed.</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05" w:name="Q05"/>
      <w:pPr>
        <w:pStyle w:val="Heading2"/>
      </w:pPr>
      <w:r>
        <w:t>Q05 DSCR eligibility and Coverage precision</w:t>
      </w:r>
      <w:bookmarkEnd w:id="05"/>
    </w:p>
    <w:p>
      <w:r>
        <w:rPr>
          <w:rFonts w:ascii="Arial" w:hAnsi="Arial"/>
          <w:b w:val="0"/>
          <w:color w:val="000000"/>
        </w:rPr>
        <w:t xml:space="preserve">Captured: exact DSCR below 1.25 is ineligible; </w:t>
      </w:r>
      <w:r>
        <w:rPr>
          <w:rFonts w:ascii="Arial" w:hAnsi="Arial"/>
          <w:b/>
          <w:color w:val="000000"/>
        </w:rPr>
        <w:t>1.249999 must not round up to pass</w:t>
      </w:r>
      <w:r>
        <w:rPr>
          <w:rFonts w:ascii="Arial" w:hAnsi="Arial"/>
          <w:b w:val="0"/>
          <w:color w:val="000000"/>
        </w:rPr>
        <w:t>. In the BRS, DSCR is CFADS divided by the proposed monthly repayment, whereas Coverage is period inflow divided by the sum of period outflow and debt service. They are different metrics and serve different decisions.</w:t>
      </w:r>
    </w:p>
    <w:p>
      <w:pPr>
        <w:keepNext/>
      </w:pPr>
      <w:r>
        <w:rPr>
          <w:rFonts w:ascii="Arial" w:hAnsi="Arial"/>
          <w:b/>
          <w:color w:val="000000"/>
        </w:rPr>
        <w:t>Kimani + Robert:</w:t>
      </w:r>
    </w:p>
    <w:p>
      <w:pPr>
        <w:pStyle w:val="ListParagraph"/>
        <w:spacing w:after="120"/>
        <w:ind w:left="288" w:hanging="288"/>
      </w:pPr>
      <w:r>
        <w:rPr>
          <w:rFonts w:ascii="Arial" w:hAnsi="Arial"/>
          <w:b w:val="0"/>
          <w:color w:val="000000"/>
        </w:rPr>
        <w:t>1. May a smaller recomputed offer qualify if its final repayment schedule satisfies exact DSCR ≥1.25, or is the whole Business disqualified? Does this remove the existing 1.00–&lt;1.25 manual/indicative route entirely, or only prohibit issuing below threshold?</w:t>
      </w:r>
    </w:p>
    <w:p>
      <w:pPr>
        <w:pStyle w:val="ListParagraph"/>
        <w:spacing w:after="120"/>
        <w:ind w:left="288" w:hanging="288"/>
      </w:pPr>
      <w:r>
        <w:rPr>
          <w:rFonts w:ascii="Arial" w:hAnsi="Arial"/>
          <w:b w:val="0"/>
          <w:color w:val="000000"/>
        </w:rPr>
        <w:t>2. Separately confirm the original Coverage proposal: exact numerator/denominator for decisions; six-decimal cache/display is non-authoritative; truthful boundary labels; invalid/missing denominator means unavailable, not numerical zero.</w:t>
      </w:r>
    </w:p>
    <w:p>
      <w:pPr>
        <w:keepNext/>
      </w:pPr>
      <w:r>
        <w:rPr>
          <w:rFonts w:ascii="Arial" w:hAnsi="Arial"/>
          <w:b w:val="0"/>
          <w:color w:val="000000"/>
        </w:rPr>
        <w:t>Do not automatically apply the origination rejection rule to existing-Note health, default or contractual terms. A strict ratio is not itself a legal-compliance opinion.</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06" w:name="Q06"/>
      <w:pPr>
        <w:pStyle w:val="Heading2"/>
      </w:pPr>
      <w:r>
        <w:t>Q06 Loan bounds annual revenue and exposure</w:t>
      </w:r>
      <w:bookmarkEnd w:id="06"/>
    </w:p>
    <w:p>
      <w:r>
        <w:rPr>
          <w:rFonts w:ascii="Arial" w:hAnsi="Arial"/>
          <w:b w:val="0"/>
          <w:color w:val="000000"/>
        </w:rPr>
        <w:t>Captured: RWF 3M minimum, RWF 100M maximum, and 35% annual-revenue cap. Recommended contract: eligible principal cannot exceed verified cash-flow capacity or any applicable approved cap; never increase capacity to reach the RWF 3M floor. If no permissible principal reaches 3M, no eligible offer is produced.</w:t>
      </w:r>
    </w:p>
    <w:p>
      <w:pPr>
        <w:keepNext/>
      </w:pPr>
      <w:r>
        <w:rPr>
          <w:rFonts w:ascii="Arial" w:hAnsi="Arial"/>
          <w:b/>
          <w:color w:val="000000"/>
        </w:rPr>
        <w:t>Kimani + Robert:</w:t>
      </w:r>
      <w:r>
        <w:rPr>
          <w:rFonts w:ascii="Arial" w:hAnsi="Arial"/>
          <w:b w:val="0"/>
          <w:color w:val="000000"/>
        </w:rPr>
        <w:t xml:space="preserve"> Define annual revenue (for example trailing twelve verified complete months versus last financial year), treatment of businesses with less than twelve months, and whether 35% and 100M apply per Note or across outstanding exposure. Specify aggregation of existing and concurrent commitments and confirm the no-forced-upsize treatment. No annualization or cap scope is assumed.</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07" w:name="Q07"/>
      <w:pPr>
        <w:pStyle w:val="Heading2"/>
      </w:pPr>
      <w:r>
        <w:t>Q07 Accepted offers and issued terms</w:t>
      </w:r>
      <w:bookmarkEnd w:id="07"/>
    </w:p>
    <w:p>
      <w:r>
        <w:rPr>
          <w:rFonts w:ascii="Arial" w:hAnsi="Arial"/>
          <w:b w:val="0"/>
          <w:color w:val="000000"/>
        </w:rPr>
        <w:t>Captured: unaccepted offers die/recalculate; issued terms and purchased issue-rating snapshots do not change; old evidence stays; an older calculation cannot overwrite a newer one. Current health/risk observations may still change without rewriting the issue facts.</w:t>
      </w:r>
    </w:p>
    <w:p>
      <w:pPr>
        <w:keepNext/>
      </w:pPr>
      <w:r>
        <w:rPr>
          <w:rFonts w:ascii="Arial" w:hAnsi="Arial"/>
          <w:b/>
          <w:color w:val="000000"/>
        </w:rPr>
        <w:t>Robert + Kimani:</w:t>
      </w:r>
      <w:r>
        <w:rPr>
          <w:rFonts w:ascii="Arial" w:hAnsi="Arial"/>
          <w:b w:val="0"/>
          <w:color w:val="000000"/>
        </w:rPr>
        <w:t xml:space="preserve"> What happens when an offer has been accepted but the Note has not yet been issued and a material event occurs? Confirm which verified events trigger invalidation and their effective ordering, including policy changes. Recommended engineering contract retains versioned evidence, idempotency and stale-write rejection; legal treatment of accepted commitments must be explicit.</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08" w:name="Q08"/>
      <w:pPr>
        <w:pStyle w:val="Heading2"/>
      </w:pPr>
      <w:r>
        <w:t>Q08 Faster intervention and default boundaries</w:t>
      </w:r>
      <w:bookmarkEnd w:id="08"/>
    </w:p>
    <w:p>
      <w:r>
        <w:rPr>
          <w:rFonts w:ascii="Arial" w:hAnsi="Arial"/>
          <w:b/>
          <w:color w:val="000000"/>
        </w:rPr>
        <w:t>Kimani + Robert:</w:t>
      </w:r>
      <w:r>
        <w:rPr>
          <w:rFonts w:ascii="Arial" w:hAnsi="Arial"/>
          <w:b w:val="0"/>
          <w:color w:val="000000"/>
        </w:rPr>
        <w:t xml:space="preserve"> Identify the intended "three rows" in the original multi-trigger matrix. For each changed row supply: trigger, exact period/unit, clock start, automatic action, review owner, cure evidence and release authority. Distinguish reporting deadlines, early-arrears escalation and cure periods from the current 90-DPD/dual-approved-unlikely-to-pay default backstop.</w:t>
      </w:r>
    </w:p>
    <w:p>
      <w:pPr>
        <w:keepNext/>
      </w:pPr>
      <w:r>
        <w:rPr>
          <w:rFonts w:ascii="Arial" w:hAnsi="Arial"/>
          <w:b w:val="0"/>
          <w:color w:val="000000"/>
        </w:rPr>
        <w:t xml:space="preserve">Recommended direction: earlier review/alerts and proportionate new-origination restrictions may be considered independently of declaring default. No shorter default timer, penalty, wallet freeze or automatic cure is selected here. Probability of default remains </w:t>
      </w:r>
      <w:r>
        <w:rPr>
          <w:rFonts w:ascii="Arial" w:hAnsi="Arial"/>
          <w:b w:val="0"/>
          <w:color w:val="000000"/>
        </w:rPr>
        <w:t>null/NOT_CALIBRATED</w:t>
      </w:r>
      <w:r>
        <w:rPr>
          <w:rFonts w:ascii="Arial" w:hAnsi="Arial"/>
          <w:b w:val="0"/>
          <w:color w:val="000000"/>
        </w:rPr>
        <w:t>.</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09" w:name="Q09"/>
      <w:pPr>
        <w:pStyle w:val="Heading2"/>
      </w:pPr>
      <w:r>
        <w:t>Q09 Partial fills listing expiry and cancellation scope</w:t>
      </w:r>
      <w:bookmarkEnd w:id="09"/>
    </w:p>
    <w:p>
      <w:r>
        <w:rPr>
          <w:rFonts w:ascii="Arial" w:hAnsi="Arial"/>
          <w:b w:val="0"/>
          <w:color w:val="000000"/>
        </w:rPr>
        <w:t>Captured: partial purchases, seven-day listing expiry, five-minute funded reservations and no seller interference with an active reservation. A listing expires; the underlying holding does not. Expiry is useful to refresh seller intent, current disclosures and price eligibility. A permanent listing would need separately agreed ongoing revalidation/consent; seven days is not asserted as a legal mandate.</w:t>
      </w:r>
    </w:p>
    <w:p>
      <w:pPr>
        <w:keepNext/>
      </w:pPr>
      <w:r>
        <w:rPr>
          <w:rFonts w:ascii="Arial" w:hAnsi="Arial"/>
          <w:b/>
          <w:color w:val="000000"/>
        </w:rPr>
        <w:t>Robert + Kimani:</w:t>
      </w:r>
    </w:p>
    <w:p>
      <w:pPr>
        <w:pStyle w:val="ListParagraph"/>
        <w:spacing w:after="120"/>
        <w:ind w:left="288" w:hanging="288"/>
      </w:pPr>
      <w:r>
        <w:rPr>
          <w:rFonts w:ascii="Arial" w:hAnsi="Arial"/>
          <w:b w:val="0"/>
          <w:color w:val="000000"/>
        </w:rPr>
        <w:t>1. Confirm fixed-price partial fills of selected eligible units without requiring automatic order-book matching. Choose one active buyer reservation per listing or simultaneous non-overlapping quantity reservations.</w:t>
      </w:r>
    </w:p>
    <w:p>
      <w:pPr>
        <w:pStyle w:val="ListParagraph"/>
        <w:spacing w:after="120"/>
        <w:ind w:left="288" w:hanging="288"/>
      </w:pPr>
      <w:r>
        <w:rPr>
          <w:rFonts w:ascii="Arial" w:hAnsi="Arial"/>
          <w:b w:val="0"/>
          <w:color w:val="000000"/>
        </w:rPr>
        <w:t>2. During an active reservation, must the whole listing remain unchanged, or may the seller cancel its unreserved remainder? Recorded admin reasons do not replace authorization. Settled trades cannot be erased by cancellation.</w:t>
      </w:r>
    </w:p>
    <w:p>
      <w:pPr>
        <w:pStyle w:val="ListParagraph"/>
        <w:spacing w:after="120"/>
        <w:ind w:left="288" w:hanging="288"/>
      </w:pPr>
      <w:r>
        <w:rPr>
          <w:rFonts w:ascii="Arial" w:hAnsi="Arial"/>
          <w:b w:val="0"/>
          <w:color w:val="000000"/>
        </w:rPr>
        <w:t>3. Confirm expiry seven times twenty-four hours from server creation, with no extension on partial fill, and decide whether listing expiry ends an outstanding reservation. Proposed treatment: the earlier listing/reservation expiry wins; uncommitted cash/units are released once. Open price changes remain cancel/recreate unless explicitly amended.</w:t>
      </w:r>
    </w:p>
    <w:p>
      <w:pPr>
        <w:pStyle w:val="ListParagraph"/>
        <w:spacing w:after="120"/>
        <w:ind w:left="288" w:hanging="288"/>
      </w:pPr>
      <w:r>
        <w:rPr>
          <w:rFonts w:ascii="Arial" w:hAnsi="Arial"/>
          <w:b w:val="0"/>
          <w:color w:val="000000"/>
        </w:rPr>
        <w:t>4. What does the mentioned "four months" mean: original tenor, loan age or remaining time? No such cutoff was found in the reviewed BRS/proposal; it is not adopted. Near-maturity, matured/fully-paid and Arrears/Default/Disputed are distinct conditions.</w:t>
      </w:r>
    </w:p>
    <w:p>
      <w:pPr>
        <w:keepNext/>
      </w:pPr>
      <w:r>
        <w:rPr>
          <w:rFonts w:ascii="Arial" w:hAnsi="Arial"/>
          <w:b w:val="0"/>
          <w:color w:val="000000"/>
        </w:rPr>
        <w:t>Minimum fill size, allowed unit granularity and residual handling must agree with Q11. Aminu and Erastus must update partial-fill settlement, fee, cancellation, expiry, halt and cutoff race tests before schema freeze.</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10" w:name="Q10"/>
      <w:pPr>
        <w:pStyle w:val="Heading2"/>
      </w:pPr>
      <w:r>
        <w:t>Q10 Transferable payout ceiling and fee contract</w:t>
      </w:r>
      <w:bookmarkEnd w:id="10"/>
    </w:p>
    <w:p>
      <w:r>
        <w:rPr>
          <w:rFonts w:ascii="Arial" w:hAnsi="Arial"/>
          <w:b w:val="0"/>
          <w:color w:val="000000"/>
        </w:rPr>
        <w:t>Captured: seller-selected prices at or below a payout ceiling, with 0.5% taker and 0.2% maker charges. Proposed roles for this fixed-price market: seller creates the listing (maker); buyer accepts it (taker). Neither charge is a rebate.</w:t>
      </w:r>
    </w:p>
    <w:p>
      <w:pPr>
        <w:keepNext/>
      </w:pPr>
      <w:r>
        <w:rPr>
          <w:rFonts w:ascii="Arial" w:hAnsi="Arial"/>
          <w:b/>
          <w:color w:val="000000"/>
        </w:rPr>
        <w:t>Kimani + Robert:</w:t>
      </w:r>
    </w:p>
    <w:p>
      <w:pPr>
        <w:pStyle w:val="ListParagraph"/>
        <w:spacing w:after="120"/>
        <w:ind w:left="288" w:hanging="288"/>
      </w:pPr>
      <w:r>
        <w:rPr>
          <w:rFonts w:ascii="Arial" w:hAnsi="Arial"/>
          <w:b w:val="0"/>
          <w:color w:val="000000"/>
        </w:rPr>
        <w:t>1. Confirm the ceiling concerns remaining contractual payouts attributable to the exact units transferred, excluding paid and already-vested seller entitlements. Choose gross or net-of-future-payout-fees cashflows, and whether the ceiling limits gross consideration alone or the buyer's fee-inclusive debit. This matters at the upper price boundary.</w:t>
      </w:r>
    </w:p>
    <w:p>
      <w:pPr>
        <w:pStyle w:val="ListParagraph"/>
        <w:spacing w:after="120"/>
        <w:ind w:left="288" w:hanging="288"/>
      </w:pPr>
      <w:r>
        <w:rPr>
          <w:rFonts w:ascii="Arial" w:hAnsi="Arial"/>
          <w:b w:val="0"/>
          <w:color w:val="000000"/>
        </w:rPr>
        <w:t>2. Confirm both fees use settled gross consideration, are rounded half-up to whole francs once per partial fill, and have no additional minimum fee unless explicitly approved. Confirm the other fee lines are unchanged and specify the effective version/in-flight-order treatment.</w:t>
      </w:r>
    </w:p>
    <w:p>
      <w:pPr>
        <w:keepNext/>
      </w:pPr>
      <w:r>
        <w:rPr>
          <w:rFonts w:ascii="Arial" w:hAnsi="Arial"/>
          <w:b w:val="0"/>
          <w:color w:val="000000"/>
        </w:rPr>
        <w:t>The current BRS uses 3% seller-only secondary fees and no buyer acquisition fee: this requires an explicit amendment, not an extra fee stacked on 3%. Disclose gross price, each party's fee/net and future payout fees. Future contractual cashflows are not guaranteed value, liquidity or realized return. The protective intent is recorded; required external review of the pricing structure and BR-75 interpretation remains separate.</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11" w:name="Q11"/>
      <w:pPr>
        <w:pStyle w:val="Heading2"/>
      </w:pPr>
      <w:r>
        <w:t>Q11 What the RWF 1000 minimum permits</w:t>
      </w:r>
      <w:bookmarkEnd w:id="11"/>
    </w:p>
    <w:p>
      <w:r>
        <w:rPr>
          <w:rFonts w:ascii="Arial" w:hAnsi="Arial"/>
          <w:b w:val="0"/>
          <w:color w:val="000000"/>
        </w:rPr>
        <w:t xml:space="preserve">If selected as minimum </w:t>
      </w:r>
      <w:r>
        <w:rPr>
          <w:rFonts w:ascii="Arial" w:hAnsi="Arial"/>
          <w:b/>
          <w:color w:val="000000"/>
        </w:rPr>
        <w:t>executed gross consideration</w:t>
      </w:r>
      <w:r>
        <w:rPr>
          <w:rFonts w:ascii="Arial" w:hAnsi="Arial"/>
          <w:b w:val="0"/>
          <w:color w:val="000000"/>
        </w:rPr>
        <w:t>, RWF 1,000 permits otherwise eligible secondary trades from 1,000 to 4,999 that the proposed 5,000 minimum would exclude. It is not a minimum face value or a fixed price per unit, and it does not change the primary-investment minimum.</w:t>
      </w:r>
    </w:p>
    <w:p>
      <w:r>
        <w:rPr>
          <w:rFonts w:ascii="Arial" w:hAnsi="Arial"/>
          <w:b w:val="0"/>
          <w:color w:val="000000"/>
        </w:rPr>
        <w:t xml:space="preserve">Illustration only, assuming the Q10 roles/base and a price permitted by the selected ceiling: a gross trade of 1,000 has a buyer fee of 5 and a total buyer debit of </w:t>
      </w:r>
      <w:r>
        <w:rPr>
          <w:rFonts w:ascii="Arial" w:hAnsi="Arial"/>
          <w:b/>
          <w:color w:val="000000"/>
        </w:rPr>
        <w:t>1,005</w:t>
      </w:r>
      <w:r>
        <w:rPr>
          <w:rFonts w:ascii="Arial" w:hAnsi="Arial"/>
          <w:b w:val="0"/>
          <w:color w:val="000000"/>
        </w:rPr>
        <w:t xml:space="preserve">; the seller fee is 2 and the seller receives </w:t>
      </w:r>
      <w:r>
        <w:rPr>
          <w:rFonts w:ascii="Arial" w:hAnsi="Arial"/>
          <w:b/>
          <w:color w:val="000000"/>
        </w:rPr>
        <w:t>998</w:t>
      </w:r>
      <w:r>
        <w:rPr>
          <w:rFonts w:ascii="Arial" w:hAnsi="Arial"/>
          <w:b w:val="0"/>
          <w:color w:val="000000"/>
        </w:rPr>
        <w:t>. These exact percentages need no fractional-franc rounding in this example. It is not an activated fee or return guarantee.</w:t>
      </w:r>
    </w:p>
    <w:p>
      <w:pPr>
        <w:keepNext/>
      </w:pPr>
      <w:r>
        <w:rPr>
          <w:rFonts w:ascii="Arial" w:hAnsi="Arial"/>
          <w:b/>
          <w:color w:val="000000"/>
        </w:rPr>
        <w:t>Kimani + Robert:</w:t>
      </w:r>
      <w:r>
        <w:rPr>
          <w:rFonts w:ascii="Arial" w:hAnsi="Arial"/>
          <w:b w:val="0"/>
          <w:color w:val="000000"/>
        </w:rPr>
        <w:t xml:space="preserve"> Confirm or reject 1,000 as the secondary-only executed minimum. Decide allowed unit granularity and treatment of a residual worth less than 1,000: prohibit fills creating untradeable residuals, allow an explicit final-residual exception, or retain the residual for payout/combination with the owner's eligible same-Note units. An 800 residual cannot be sold under a universal 1,000 minimum without an exception. No cross-Note bundle, Rozine buyback or guaranteed exit is proposed.</w:t>
      </w:r>
    </w:p>
    <w:p>
      <w:pPr>
        <w:keepNext w:val="0"/>
        <w:spacing w:after="280"/>
      </w:pPr>
      <w:r>
        <w:rPr>
          <w:rFonts w:ascii="Arial" w:hAnsi="Arial"/>
          <w:b/>
          <w:color w:val="000000"/>
        </w:rPr>
        <w:t>Response:</w:t>
      </w:r>
      <w:r>
        <w:rPr>
          <w:rFonts w:ascii="Arial" w:hAnsi="Arial"/>
          <w:b w:val="0"/>
          <w:color w:val="000000"/>
        </w:rPr>
        <w:t xml:space="preserve"> Pending confirmation</w:t>
      </w:r>
    </w:p>
    <w:p>
      <w:bookmarkStart w:id="12" w:name="Q12"/>
      <w:pPr>
        <w:pStyle w:val="Heading2"/>
      </w:pPr>
      <w:r>
        <w:t>Q12 Legitimate activity malicious conduct and review safeguards</w:t>
      </w:r>
      <w:bookmarkEnd w:id="12"/>
    </w:p>
    <w:p>
      <w:r>
        <w:rPr>
          <w:rFonts w:ascii="Arial" w:hAnsi="Arial"/>
          <w:b w:val="0"/>
          <w:color w:val="000000"/>
        </w:rPr>
        <w:t xml:space="preserve">The existing SEC-R10 numerical thresholds create </w:t>
      </w:r>
      <w:r>
        <w:rPr>
          <w:rFonts w:ascii="Arial" w:hAnsi="Arial"/>
          <w:b/>
          <w:color w:val="000000"/>
        </w:rPr>
        <w:t>review-only flags, not automatic penalties</w:t>
      </w:r>
      <w:r>
        <w:rPr>
          <w:rFonts w:ascii="Arial" w:hAnsi="Arial"/>
          <w:b w:val="0"/>
          <w:color w:val="000000"/>
        </w:rPr>
        <w:t>. Frequent trading, repeated cancellation, reciprocal trades or a deep discount is not by itself a fraud finding. The thresholds were not calibrated.</w:t>
      </w:r>
    </w:p>
    <w:p>
      <w:r>
        <w:rPr>
          <w:rFonts w:ascii="Arial" w:hAnsi="Arial"/>
          <w:b w:val="0"/>
          <w:color w:val="000000"/>
        </w:rPr>
        <w:t>Proposed conduct-policy scope for Kimani/Robert and qualified counsel to refine:</w:t>
      </w:r>
    </w:p>
    <w:p>
      <w:pPr>
        <w:pStyle w:val="ListBullet"/>
        <w:spacing w:after="100"/>
      </w:pPr>
      <w:r>
        <w:rPr>
          <w:rFonts w:ascii="Arial" w:hAnsi="Arial"/>
          <w:b w:val="0"/>
          <w:color w:val="000000"/>
        </w:rPr>
        <w:t>Wash/self/same-beneficial-owner trades or collusive trades intended to fabricate price, demand or volume.</w:t>
      </w:r>
    </w:p>
    <w:p>
      <w:pPr>
        <w:pStyle w:val="ListBullet"/>
        <w:spacing w:after="100"/>
      </w:pPr>
      <w:r>
        <w:rPr>
          <w:rFonts w:ascii="Arial" w:hAnsi="Arial"/>
          <w:b w:val="0"/>
          <w:color w:val="000000"/>
        </w:rPr>
        <w:t>Deceptive orders/reservations without genuine trading intent, including attempts to obstruct others; spoofing/layering terminology applies only where supported by the actual market design.</w:t>
      </w:r>
    </w:p>
    <w:p>
      <w:pPr>
        <w:pStyle w:val="ListBullet"/>
        <w:spacing w:after="100"/>
      </w:pPr>
      <w:r>
        <w:rPr>
          <w:rFonts w:ascii="Arial" w:hAnsi="Arial"/>
          <w:b w:val="0"/>
          <w:color w:val="000000"/>
        </w:rPr>
        <w:t>Material false statements, fabricated evidence or concealment of information required for informed consent.</w:t>
      </w:r>
    </w:p>
    <w:p>
      <w:pPr>
        <w:pStyle w:val="ListBullet"/>
        <w:spacing w:after="100"/>
      </w:pPr>
      <w:r>
        <w:rPr>
          <w:rFonts w:ascii="Arial" w:hAnsi="Arial"/>
          <w:b w:val="0"/>
          <w:color w:val="000000"/>
        </w:rPr>
        <w:t>Misuse of confidential information or privileged access, including front-running where applicable.</w:t>
      </w:r>
    </w:p>
    <w:p>
      <w:pPr>
        <w:pStyle w:val="ListBullet"/>
        <w:spacing w:after="100"/>
      </w:pPr>
      <w:r>
        <w:rPr>
          <w:rFonts w:ascii="Arial" w:hAnsi="Arial"/>
          <w:b w:val="0"/>
          <w:color w:val="000000"/>
        </w:rPr>
        <w:t>Identity/account fraud, unauthorized trading, double-selling or evading ownership, unit/cash reservation or eligibility controls.</w:t>
      </w:r>
    </w:p>
    <w:p>
      <w:pPr>
        <w:pStyle w:val="ListBullet"/>
        <w:spacing w:after="100"/>
      </w:pPr>
      <w:r>
        <w:rPr>
          <w:rFonts w:ascii="Arial" w:hAnsi="Arial"/>
          <w:b w:val="0"/>
          <w:color w:val="000000"/>
        </w:rPr>
        <w:t>Illicit-funds activity and evasion of applicable financial-crime restrictions, with reporting/handling governed by the approved compliance process.</w:t>
      </w:r>
    </w:p>
    <w:p>
      <w:r>
        <w:rPr>
          <w:rFonts w:ascii="Arial" w:hAnsi="Arial"/>
          <w:b/>
          <w:color w:val="000000"/>
        </w:rPr>
        <w:t>Kimani + Robert:</w:t>
      </w:r>
      <w:r>
        <w:rPr>
          <w:rFonts w:ascii="Arial" w:hAnsi="Arial"/>
          <w:b w:val="0"/>
          <w:color w:val="000000"/>
        </w:rPr>
        <w:t xml:space="preserve"> Approve/amend the categories; define evidence, reviewer, permitted interim safeguards, reasons, notice/appeal where lawful, and release authority. Choose which uncalibrated numerical flags to retain, revise or remove. Distinguish hard integrity denials from review cases and authorized sanctions. Do not silently remove existing self/related-party restrictions or interpret "no apparent harm" as exemption from law.</w:t>
      </w:r>
    </w:p>
    <w:p>
      <w:pPr>
        <w:keepNext/>
      </w:pPr>
      <w:r>
        <w:rPr>
          <w:rFonts w:ascii="Arial" w:hAnsi="Arial"/>
          <w:b w:val="0"/>
          <w:color w:val="000000"/>
        </w:rPr>
        <w:t xml:space="preserve">CMA expressly includes investor protection against fraud, deceit and manipulation within its mandate; this supports the need for review, not a claim that this proposed list is a complete legal rulebook. </w:t>
      </w:r>
      <w:hyperlink r:id="rId10">
        <w:r>
          <w:rPr>
            <w:color w:val="174A73"/>
            <w:u w:val="single"/>
          </w:rPr>
          <w:t>CMA role, checked 17 September 2026</w:t>
        </w:r>
      </w:hyperlink>
      <w:r>
        <w:rPr>
          <w:rFonts w:ascii="Arial" w:hAnsi="Arial"/>
          <w:b w:val="0"/>
          <w:color w:val="000000"/>
        </w:rPr>
        <w:t>.</w:t>
      </w:r>
    </w:p>
    <w:p>
      <w:pPr>
        <w:keepNext w:val="0"/>
        <w:spacing w:after="280"/>
      </w:pPr>
      <w:r>
        <w:rPr>
          <w:rFonts w:ascii="Arial" w:hAnsi="Arial"/>
          <w:b/>
          <w:color w:val="000000"/>
        </w:rPr>
        <w:t>Response:</w:t>
      </w:r>
      <w:r>
        <w:rPr>
          <w:rFonts w:ascii="Arial" w:hAnsi="Arial"/>
          <w:b w:val="0"/>
          <w:color w:val="000000"/>
        </w:rPr>
        <w:t xml:space="preserve"> Pending confirmation</w:t>
      </w:r>
    </w:p>
    <w:p>
      <w:pPr>
        <w:pStyle w:val="Heading1"/>
      </w:pPr>
      <w:r>
        <w:t>3 Updates and verification after confirmation</w:t>
      </w:r>
    </w:p>
    <w:p>
      <w:pPr>
        <w:pStyle w:val="Heading2"/>
      </w:pPr>
      <w:r>
        <w:t>Loan terms and financial history</w:t>
      </w:r>
    </w:p>
    <w:p>
      <w:r>
        <w:rPr>
          <w:rFonts w:ascii="Arial" w:hAnsi="Arial"/>
          <w:b/>
          <w:color w:val="000000"/>
        </w:rPr>
        <w:t>Update after confirmation:</w:t>
      </w:r>
      <w:r>
        <w:rPr>
          <w:rFonts w:ascii="Arial" w:hAnsi="Arial"/>
          <w:b w:val="0"/>
          <w:color w:val="000000"/>
        </w:rPr>
        <w:t xml:space="preserve"> BR-20, D-14, plan C-21, UW-R03, pricing and schedule inputs; retain old policy versions.</w:t>
      </w:r>
    </w:p>
    <w:p>
      <w:r>
        <w:rPr>
          <w:rFonts w:ascii="Arial" w:hAnsi="Arial"/>
          <w:b/>
          <w:color w:val="000000"/>
        </w:rPr>
        <w:t>Verification required:</w:t>
      </w:r>
      <w:r>
        <w:rPr>
          <w:rFonts w:ascii="Arial" w:hAnsi="Arial"/>
          <w:b w:val="0"/>
          <w:color w:val="000000"/>
        </w:rPr>
        <w:t xml:space="preserve"> Allowed/disallowed tenors, history gaps/staleness, seasonal timing, downside and migration cases; no automatic change to flat-return bounds.</w:t>
      </w:r>
    </w:p>
    <w:p>
      <w:pPr>
        <w:pStyle w:val="Heading2"/>
      </w:pPr>
      <w:r>
        <w:t>Ratios and lending limits</w:t>
      </w:r>
    </w:p>
    <w:p>
      <w:r>
        <w:rPr>
          <w:rFonts w:ascii="Arial" w:hAnsi="Arial"/>
          <w:b/>
          <w:color w:val="000000"/>
        </w:rPr>
        <w:t>Update after confirmation:</w:t>
      </w:r>
      <w:r>
        <w:rPr>
          <w:rFonts w:ascii="Arial" w:hAnsi="Arial"/>
          <w:b w:val="0"/>
          <w:color w:val="000000"/>
        </w:rPr>
        <w:t xml:space="preserve"> BR-14, D-11B/D-13, D-12/UW-17 and UW-R04/UW-R05.</w:t>
      </w:r>
    </w:p>
    <w:p>
      <w:r>
        <w:rPr>
          <w:rFonts w:ascii="Arial" w:hAnsi="Arial"/>
          <w:b/>
          <w:color w:val="000000"/>
        </w:rPr>
        <w:t>Verification required:</w:t>
      </w:r>
      <w:r>
        <w:rPr>
          <w:rFonts w:ascii="Arial" w:hAnsi="Arial"/>
          <w:b w:val="0"/>
          <w:color w:val="000000"/>
        </w:rPr>
        <w:t xml:space="preserve"> Exact below/at/above thresholds, denominator validity, final-schedule resizing, below-3M, revenue/exposure/concurrent-cap cases.</w:t>
      </w:r>
    </w:p>
    <w:p>
      <w:pPr>
        <w:pStyle w:val="Heading2"/>
      </w:pPr>
      <w:r>
        <w:t>Material events and risk</w:t>
      </w:r>
    </w:p>
    <w:p>
      <w:r>
        <w:rPr>
          <w:rFonts w:ascii="Arial" w:hAnsi="Arial"/>
          <w:b/>
          <w:color w:val="000000"/>
        </w:rPr>
        <w:t>Update after confirmation:</w:t>
      </w:r>
      <w:r>
        <w:rPr>
          <w:rFonts w:ascii="Arial" w:hAnsi="Arial"/>
          <w:b w:val="0"/>
          <w:color w:val="000000"/>
        </w:rPr>
        <w:t xml:space="preserve"> UW-R06/UW-R07, D-23/D-25/D-28 and accepted-to-issued transitions.</w:t>
      </w:r>
    </w:p>
    <w:p>
      <w:r>
        <w:rPr>
          <w:rFonts w:ascii="Arial" w:hAnsi="Arial"/>
          <w:b/>
          <w:color w:val="000000"/>
        </w:rPr>
        <w:t>Verification required:</w:t>
      </w:r>
      <w:r>
        <w:rPr>
          <w:rFonts w:ascii="Arial" w:hAnsi="Arial"/>
          <w:b w:val="0"/>
          <w:color w:val="000000"/>
        </w:rPr>
        <w:t xml:space="preserve"> Event taxonomy, stale-worker races, immutable issue facts, explicit timer/action/cure and authorized-release cases.</w:t>
      </w:r>
    </w:p>
    <w:p>
      <w:pPr>
        <w:pStyle w:val="Heading2"/>
      </w:pPr>
      <w:r>
        <w:t>Partial secondary settlement</w:t>
      </w:r>
    </w:p>
    <w:p>
      <w:r>
        <w:rPr>
          <w:rFonts w:ascii="Arial" w:hAnsi="Arial"/>
          <w:b/>
          <w:color w:val="000000"/>
        </w:rPr>
        <w:t>Update after confirmation:</w:t>
      </w:r>
      <w:r>
        <w:rPr>
          <w:rFonts w:ascii="Arial" w:hAnsi="Arial"/>
          <w:b w:val="0"/>
          <w:color w:val="000000"/>
        </w:rPr>
        <w:t xml:space="preserve"> D-26, Holding/Order/Reservation/Trade contracts, SEC-T01–SEC-T12.</w:t>
      </w:r>
    </w:p>
    <w:p>
      <w:r>
        <w:rPr>
          <w:rFonts w:ascii="Arial" w:hAnsi="Arial"/>
          <w:b/>
          <w:color w:val="000000"/>
        </w:rPr>
        <w:t>Verification required:</w:t>
      </w:r>
      <w:r>
        <w:rPr>
          <w:rFonts w:ascii="Arial" w:hAnsi="Arial"/>
          <w:b w:val="0"/>
          <w:color w:val="000000"/>
        </w:rPr>
        <w:t xml:space="preserve"> Real PostgreSQL partial-fill/reservation/expiry/cancel/halt/cutoff races; wallet/unit conservation and replay; UI quantity and timeout states.</w:t>
      </w:r>
    </w:p>
    <w:p>
      <w:pPr>
        <w:pStyle w:val="Heading2"/>
      </w:pPr>
      <w:r>
        <w:t>Fees and trading limits</w:t>
      </w:r>
    </w:p>
    <w:p>
      <w:r>
        <w:rPr>
          <w:rFonts w:ascii="Arial" w:hAnsi="Arial"/>
          <w:b/>
          <w:color w:val="000000"/>
        </w:rPr>
        <w:t>Update after confirmation:</w:t>
      </w:r>
      <w:r>
        <w:rPr>
          <w:rFonts w:ascii="Arial" w:hAnsi="Arial"/>
          <w:b w:val="0"/>
          <w:color w:val="000000"/>
        </w:rPr>
        <w:t xml:space="preserve"> BR-27/62/64/75, D-10/D-27, SEC-R04–SEC-R06.</w:t>
      </w:r>
    </w:p>
    <w:p>
      <w:r>
        <w:rPr>
          <w:rFonts w:ascii="Arial" w:hAnsi="Arial"/>
          <w:b/>
          <w:color w:val="000000"/>
        </w:rPr>
        <w:t>Verification required:</w:t>
      </w:r>
      <w:r>
        <w:rPr>
          <w:rFonts w:ascii="Arial" w:hAnsi="Arial"/>
          <w:b w:val="0"/>
          <w:color w:val="000000"/>
        </w:rPr>
        <w:t xml:space="preserve"> Buyer fee-inclusive funding, gross/net ceiling boundaries, per-fill rounding/fragmentation, residual units and vested-entitlement exclusion.</w:t>
      </w:r>
    </w:p>
    <w:p>
      <w:pPr>
        <w:pStyle w:val="Heading2"/>
      </w:pPr>
      <w:r>
        <w:t>Market conduct and external approvals</w:t>
      </w:r>
    </w:p>
    <w:p>
      <w:r>
        <w:rPr>
          <w:rFonts w:ascii="Arial" w:hAnsi="Arial"/>
          <w:b/>
          <w:color w:val="000000"/>
        </w:rPr>
        <w:t>Update after confirmation:</w:t>
      </w:r>
      <w:r>
        <w:rPr>
          <w:rFonts w:ascii="Arial" w:hAnsi="Arial"/>
          <w:b w:val="0"/>
          <w:color w:val="000000"/>
        </w:rPr>
        <w:t xml:space="preserve"> SEC-R10, provider-access/data contract, D-39 and related external gates.</w:t>
      </w:r>
    </w:p>
    <w:p>
      <w:r>
        <w:rPr>
          <w:rFonts w:ascii="Arial" w:hAnsi="Arial"/>
          <w:b/>
          <w:color w:val="000000"/>
        </w:rPr>
        <w:t>Verification required:</w:t>
      </w:r>
      <w:r>
        <w:rPr>
          <w:rFonts w:ascii="Arial" w:hAnsi="Arial"/>
          <w:b w:val="0"/>
          <w:color w:val="000000"/>
        </w:rPr>
        <w:t xml:space="preserve"> Authorized access, missing/stale/disputed evidence, review-only flags, legitimate-activity cases and recorded independent/external dispositions.</w:t>
      </w:r>
    </w:p>
    <w:p>
      <w:r>
        <w:rPr>
          <w:rFonts w:ascii="Arial" w:hAnsi="Arial"/>
          <w:b w:val="0"/>
          <w:color w:val="000000"/>
        </w:rPr>
        <w:t xml:space="preserve">The </w:t>
      </w:r>
      <w:r>
        <w:rPr>
          <w:rFonts w:ascii="Arial" w:hAnsi="Arial"/>
          <w:b w:val="0"/>
          <w:color w:val="000000"/>
        </w:rPr>
        <w:t>existing fixture pack</w:t>
      </w:r>
      <w:r>
        <w:rPr>
          <w:rFonts w:ascii="Arial" w:hAnsi="Arial"/>
          <w:b w:val="0"/>
          <w:color w:val="000000"/>
        </w:rPr>
        <w:t xml:space="preserve"> and </w:t>
      </w:r>
      <w:r>
        <w:rPr>
          <w:rFonts w:ascii="Arial" w:hAnsi="Arial"/>
          <w:b w:val="0"/>
          <w:color w:val="000000"/>
        </w:rPr>
        <w:t>48-vector source register</w:t>
      </w:r>
      <w:r>
        <w:rPr>
          <w:rFonts w:ascii="Arial" w:hAnsi="Arial"/>
          <w:b w:val="0"/>
          <w:color w:val="000000"/>
        </w:rPr>
        <w:t xml:space="preserve"> remain unchanged historical review artifacts. Their old examples are not proof of these revised choices. Build a separately versioned set of amended expected results after the choices are complete; retain provenance and independently reviewed evidence.</w:t>
      </w:r>
    </w:p>
    <w:p>
      <w:pPr>
        <w:pStyle w:val="Heading1"/>
        <w:pageBreakBefore/>
      </w:pPr>
      <w:r>
        <w:t>4 Confirmation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24"/>
      </w:tblGrid>
      <w:tr>
        <w:trPr>
          <w:cantSplit/>
          <w:tblHeader/>
        </w:trPr>
        <w:tc>
          <w:tcPr>
            <w:tcW w:type="dxa" w:w="3456"/>
            <w:vAlign w:val="center"/>
            <w:tcMar>
              <w:top w:w="85" w:type="dxa"/>
              <w:bottom w:w="85" w:type="dxa"/>
              <w:left w:w="95" w:type="dxa"/>
              <w:right w:w="95" w:type="dxa"/>
            </w:tcMar>
            <w:shd w:fill="E8EFF5"/>
          </w:tcPr>
          <w:p>
            <w:pPr>
              <w:keepNext/>
              <w:spacing w:line="252" w:lineRule="auto" w:after="0"/>
            </w:pPr>
            <w:r>
              <w:rPr>
                <w:rFonts w:ascii="Arial" w:hAnsi="Arial"/>
                <w:b/>
                <w:color w:val="000000"/>
                <w:sz w:val="20"/>
              </w:rPr>
              <w:t>Required confirmation</w:t>
            </w:r>
          </w:p>
        </w:tc>
        <w:tc>
          <w:tcPr>
            <w:tcW w:type="dxa" w:w="6624"/>
            <w:vAlign w:val="center"/>
            <w:tcMar>
              <w:top w:w="85" w:type="dxa"/>
              <w:bottom w:w="85" w:type="dxa"/>
              <w:left w:w="95" w:type="dxa"/>
              <w:right w:w="95" w:type="dxa"/>
            </w:tcMar>
            <w:shd w:fill="E8EFF5"/>
          </w:tcPr>
          <w:p>
            <w:pPr>
              <w:keepNext/>
              <w:spacing w:line="252" w:lineRule="auto" w:after="0"/>
            </w:pPr>
            <w:r>
              <w:rPr>
                <w:rFonts w:ascii="Arial" w:hAnsi="Arial"/>
                <w:b/>
                <w:color w:val="000000"/>
                <w:sz w:val="20"/>
              </w:rPr>
              <w:t>Current evidence / remaining action</w:t>
            </w:r>
          </w:p>
        </w:tc>
      </w:tr>
      <w:tr>
        <w:trPr>
          <w:cantSplit/>
        </w:trPr>
        <w:tc>
          <w:tcPr>
            <w:tcW w:type="dxa" w:w="3456"/>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Robert — Product/Business/internal Legal</w:t>
            </w:r>
          </w:p>
        </w:tc>
        <w:tc>
          <w:tcPr>
            <w:tcW w:type="dxa" w:w="6624"/>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Choices are recorded above. Please confirm the exact wording and answer Q01 to Q12 where in scope.</w:t>
            </w:r>
          </w:p>
        </w:tc>
      </w:tr>
      <w:tr>
        <w:trPr>
          <w:cantSplit/>
        </w:trPr>
        <w:tc>
          <w:tcPr>
            <w:tcW w:type="dxa" w:w="3456"/>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Kimani — Finance/Risk/Compliance/Audit Operations</w:t>
            </w:r>
          </w:p>
        </w:tc>
        <w:tc>
          <w:tcPr>
            <w:tcW w:type="dxa" w:w="6624"/>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Please confirm the exact revised Finance, Risk and Compliance wording.</w:t>
            </w:r>
          </w:p>
        </w:tc>
      </w:tr>
      <w:tr>
        <w:trPr>
          <w:cantSplit/>
        </w:trPr>
        <w:tc>
          <w:tcPr>
            <w:tcW w:type="dxa" w:w="3456"/>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Aminu + Erastus — Engineering/Security</w:t>
            </w:r>
          </w:p>
        </w:tc>
        <w:tc>
          <w:tcPr>
            <w:tcW w:type="dxa" w:w="6624"/>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Contract feasibility, schemas, tests and UI/server agreement remain pending; drafting this sheet is not their joint acceptance.</w:t>
            </w:r>
          </w:p>
        </w:tc>
      </w:tr>
      <w:tr>
        <w:trPr>
          <w:cantSplit/>
        </w:trPr>
        <w:tc>
          <w:tcPr>
            <w:tcW w:type="dxa" w:w="3456"/>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Named eligible non-author reviewer</w:t>
            </w:r>
          </w:p>
        </w:tc>
        <w:tc>
          <w:tcPr>
            <w:tcW w:type="dxa" w:w="6624"/>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Name, scope, version and actual independent evidence/sign-off remain pending.</w:t>
            </w:r>
          </w:p>
        </w:tc>
      </w:tr>
      <w:tr>
        <w:trPr>
          <w:cantSplit/>
        </w:trPr>
        <w:tc>
          <w:tcPr>
            <w:tcW w:type="dxa" w:w="3456"/>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External legal/regulatory/provider authorities</w:t>
            </w:r>
          </w:p>
        </w:tc>
        <w:tc>
          <w:tcPr>
            <w:tcW w:type="dxa" w:w="6624"/>
            <w:vAlign w:val="center"/>
            <w:tcMar>
              <w:top w:w="85" w:type="dxa"/>
              <w:bottom w:w="85" w:type="dxa"/>
              <w:left w:w="95" w:type="dxa"/>
              <w:right w:w="95" w:type="dxa"/>
            </w:tcMar>
            <w:shd w:fill="FFFFFF"/>
          </w:tcPr>
          <w:p>
            <w:pPr>
              <w:keepNext w:val="0"/>
              <w:spacing w:line="252" w:lineRule="auto" w:after="0"/>
            </w:pPr>
            <w:r>
              <w:rPr>
                <w:rFonts w:ascii="Arial" w:hAnsi="Arial"/>
                <w:b w:val="0"/>
                <w:color w:val="000000"/>
                <w:sz w:val="20"/>
              </w:rPr>
              <w:t>Applicable D-39 and other external dispositions remain pending; internal approval cannot substitute for them.</w:t>
            </w:r>
          </w:p>
        </w:tc>
      </w:tr>
      <w:tr>
        <w:trPr>
          <w:cantSplit/>
        </w:trPr>
        <w:tc>
          <w:tcPr>
            <w:tcW w:type="dxa" w:w="3456"/>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Amendment activation</w:t>
            </w:r>
          </w:p>
        </w:tc>
        <w:tc>
          <w:tcPr>
            <w:tcW w:type="dxa" w:w="6624"/>
            <w:vAlign w:val="center"/>
            <w:tcMar>
              <w:top w:w="85" w:type="dxa"/>
              <w:bottom w:w="85" w:type="dxa"/>
              <w:left w:w="95" w:type="dxa"/>
              <w:right w:w="95" w:type="dxa"/>
            </w:tcMar>
            <w:shd w:fill="F7F9FB"/>
          </w:tcPr>
          <w:p>
            <w:pPr>
              <w:keepNext w:val="0"/>
              <w:spacing w:line="252" w:lineRule="auto" w:after="0"/>
            </w:pPr>
            <w:r>
              <w:rPr>
                <w:rFonts w:ascii="Arial" w:hAnsi="Arial"/>
                <w:b w:val="0"/>
                <w:color w:val="000000"/>
                <w:sz w:val="20"/>
              </w:rPr>
              <w:t>Effective version/date NOT_SET; affected artifacts, migration/in-flight scope and required approvals must be explicit before activation.</w:t>
            </w:r>
          </w:p>
        </w:tc>
      </w:tr>
    </w:tbl>
    <w:p>
      <w:pPr>
        <w:spacing w:after="40"/>
      </w:pPr>
    </w:p>
    <w:p>
      <w:r>
        <w:rPr>
          <w:rFonts w:ascii="Arial" w:hAnsi="Arial"/>
          <w:b/>
          <w:color w:val="000000"/>
        </w:rPr>
        <w:t>Suggested reply format:</w:t>
      </w:r>
      <w:r>
        <w:rPr>
          <w:rFonts w:ascii="Arial" w:hAnsi="Arial"/>
          <w:b w:val="0"/>
          <w:color w:val="000000"/>
        </w:rPr>
        <w:t xml:space="preserve"> </w:t>
      </w:r>
      <w:r>
        <w:rPr>
          <w:rFonts w:ascii="Arial" w:hAnsi="Arial"/>
          <w:b w:val="0"/>
          <w:color w:val="000000"/>
        </w:rPr>
        <w:t>response-2026-09-17.1; role/name; IDs confirmed; Q01–Q12 answers or explicit exclusions; amendment effective scope; evidence reference; timestamp/timezone</w:t>
      </w:r>
      <w:r>
        <w:rPr>
          <w:rFonts w:ascii="Arial" w:hAnsi="Arial"/>
          <w:b w:val="0"/>
          <w:color w:val="000000"/>
        </w:rPr>
        <w:t>. Do not record a blanket signature over unanswered fields. Phase 0 and the Phase 1 behavioral contract freeze remain open.</w:t>
      </w:r>
    </w:p>
    <w:p>
      <w:pPr>
        <w:pStyle w:val="Heading2"/>
      </w:pPr>
      <w:r>
        <w:t>Reference documents</w:t>
      </w:r>
    </w:p>
    <w:p>
      <w:r>
        <w:rPr>
          <w:rFonts w:ascii="Arial" w:hAnsi="Arial"/>
          <w:b w:val="0"/>
          <w:color w:val="000000"/>
        </w:rPr>
        <w:t>Consolidated decision sheet response-2026-09-17.1; underwriting decision review review-2026-09-10.1; secondary contract review review-2026-09-10.1; Rozine BRS v1.0; Rozine Phased Implementation Plan; Source authority and document control record. Provider and CMA links appear beside the statements they support.</w:t>
      </w:r>
    </w:p>
    <w:sectPr w:rsidR="00FC693F" w:rsidRPr="0006063C" w:rsidSect="00034616">
      <w:footerReference w:type="default" r:id="rId11"/>
      <w:pgSz w:w="12240" w:h="15840"/>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000000"/>
        <w:sz w:val="18"/>
      </w:rPr>
      <w:t xml:space="preserve">Rozine  |  17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52"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line="252" w:lineRule="auto"/>
    </w:pPr>
    <w:rPr>
      <w:rFonts w:asciiTheme="majorHAnsi" w:eastAsiaTheme="majorEastAsia" w:hAnsiTheme="majorHAnsi" w:cstheme="majorBidi" w:ascii="Arial" w:hAnsi="Arial" w:eastAsia="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ransunionafrica.com/product/trendedview-report" TargetMode="External"/><Relationship Id="rId10" Type="http://schemas.openxmlformats.org/officeDocument/2006/relationships/hyperlink" Target="https://www.cma.rw/about-us/role-of-cma"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Rozine underwriting and secondary trading decisions</dc:title>
  <dc:subject>Responses of 17 September 2026 and remaining confirmations</dc:subject>
  <dc:creator>Hussain Aminu</dc:creator>
  <cp:keywords>Rozine, Phase 0, underwriting, secondary trading, decision review</cp:keywords>
  <dc:description/>
  <cp:lastModifiedBy/>
  <cp:revision>1</cp:revision>
  <dcterms:created xsi:type="dcterms:W3CDTF">2013-12-23T23:15:00Z</dcterms:created>
  <dcterms:modified xsi:type="dcterms:W3CDTF">2013-12-23T23:15:00Z</dcterms:modified>
  <cp:category/>
</cp:coreProperties>
</file>