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D4EEE" w14:textId="77777777">
      <w:pPr>
        <w:pStyle w:val="Heading1"/>
        <w:pBdr>
          <w:top w:val="nil"/>
          <w:left w:val="nil"/>
          <w:bottom w:val="nil"/>
          <w:right w:val="nil"/>
          <w:between w:val="nil"/>
        </w:pBdr>
        <w:jc w:val="center"/>
        <w:rPr>
          <w:color w:val="829EFF"/>
          <w:sz w:val="20"/>
          <w:szCs w:val="20"/>
        </w:rPr>
      </w:pPr>
    </w:p>
    <w:p w14:paraId="0619F55A" w14:textId="77777777"/>
    <w:p w14:paraId="2CE63EF6" w14:textId="77777777"/>
    <w:p w14:paraId="180A1EDD" w14:textId="77777777">
      <w:pPr>
        <w:pStyle w:val="Title"/>
      </w:pPr>
      <w:bookmarkStart w:id="0" w:name="_qzuc5iwubkm" w:colFirst="0" w:colLast="0"/>
      <w:bookmarkEnd w:id="0"/>
      <w:r>
        <w:t xml:space="preserve">UNDERWRITING</w:t>
      </w:r>
    </w:p>
    <w:p w14:paraId="574EC04D" w14:textId="77777777">
      <w:pPr>
        <w:pStyle w:val="Heading1"/>
        <w:pBdr>
          <w:top w:val="nil"/>
          <w:left w:val="nil"/>
          <w:bottom w:val="nil"/>
          <w:right w:val="nil"/>
          <w:between w:val="nil"/>
        </w:pBdr>
        <w:jc w:val="center"/>
        <w:rPr>
          <w:color w:val="8A96DA"/>
        </w:rPr>
      </w:pPr>
      <w:r>
        <w:rPr>
          <w:color w:val="8A96DA"/>
        </w:rPr>
        <w:t xml:space="preserve">Rozine policy decisions and approval</w:t>
      </w:r>
    </w:p>
    <w:p w14:paraId="033436C6" w14:textId="77777777"/>
    <w:p w14:paraId="0525F385" w14:textId="77777777">
      <w:pPr>
        <w:rPr>
          <w:rFonts w:ascii="Helvetica Neue" w:eastAsia="Helvetica Neue" w:hAnsi="Helvetica Neue" w:cs="Helvetica Neue"/>
        </w:rPr>
      </w:pPr>
    </w:p>
    <w:p w14:paraId="1BFBE187" w14:textId="77777777">
      <w:pPr>
        <w:rPr>
          <w:rFonts w:ascii="Helvetica Neue" w:eastAsia="Helvetica Neue" w:hAnsi="Helvetica Neue" w:cs="Helvetica Neue"/>
        </w:rPr>
      </w:pPr>
    </w:p>
    <w:p w14:paraId="2907C8F6" w14:textId="77777777">
      <w:pPr>
        <w:rPr>
          <w:rFonts w:ascii="Helvetica Neue" w:eastAsia="Helvetica Neue" w:hAnsi="Helvetica Neue" w:cs="Helvetica Neue"/>
        </w:rPr>
      </w:pPr>
    </w:p>
    <w:p w14:paraId="2AB55E29" w14:textId="77777777">
      <w:pPr>
        <w:rPr>
          <w:rFonts w:ascii="Helvetica Neue" w:eastAsia="Helvetica Neue" w:hAnsi="Helvetica Neue" w:cs="Helvetica Neue"/>
        </w:rPr>
      </w:pPr>
    </w:p>
    <w:p w14:paraId="0AEA07BD" w14:textId="77777777">
      <w:pPr>
        <w:rPr>
          <w:rFonts w:ascii="Helvetica Neue" w:eastAsia="Helvetica Neue" w:hAnsi="Helvetica Neue" w:cs="Helvetica Neue"/>
        </w:rPr>
      </w:pPr>
    </w:p>
    <w:p w14:paraId="4F37A404" w14:textId="77777777">
      <w:pPr>
        <w:rPr>
          <w:rFonts w:ascii="Helvetica Neue" w:eastAsia="Helvetica Neue" w:hAnsi="Helvetica Neue" w:cs="Helvetica Neue"/>
        </w:rPr>
      </w:pPr>
    </w:p>
    <w:p w14:paraId="249C1CCC" w14:textId="77777777">
      <w:pPr>
        <w:rPr>
          <w:rFonts w:ascii="Helvetica Neue" w:eastAsia="Helvetica Neue" w:hAnsi="Helvetica Neue" w:cs="Helvetica Neue"/>
        </w:rPr>
      </w:pPr>
    </w:p>
    <w:p w14:paraId="140994CE" w14:textId="77777777">
      <w:pPr>
        <w:rPr>
          <w:rFonts w:ascii="Helvetica Neue" w:eastAsia="Helvetica Neue" w:hAnsi="Helvetica Neue" w:cs="Helvetica Neue"/>
        </w:rPr>
      </w:pPr>
    </w:p>
    <w:p w14:paraId="4E9E5C61" w14:textId="77777777">
      <w:pPr>
        <w:rPr>
          <w:rFonts w:ascii="Helvetica Neue" w:eastAsia="Helvetica Neue" w:hAnsi="Helvetica Neue" w:cs="Helvetica Neue"/>
        </w:rPr>
      </w:pPr>
    </w:p>
    <w:p w14:paraId="2C4AE243" w14:textId="77777777">
      <w:pPr>
        <w:rPr>
          <w:rFonts w:ascii="Helvetica Neue" w:eastAsia="Helvetica Neue" w:hAnsi="Helvetica Neue" w:cs="Helvetica Neue"/>
        </w:rPr>
      </w:pPr>
    </w:p>
    <w:p w14:paraId="4FD6E2D4" w14:textId="77777777">
      <w:pPr>
        <w:rPr>
          <w:rFonts w:ascii="Helvetica Neue" w:eastAsia="Helvetica Neue" w:hAnsi="Helvetica Neue" w:cs="Helvetica Neue"/>
        </w:rPr>
      </w:pPr>
    </w:p>
    <w:p w14:paraId="01C8CB97" w14:textId="77777777">
      <w:pPr>
        <w:rPr>
          <w:rFonts w:ascii="Helvetica Neue" w:eastAsia="Helvetica Neue" w:hAnsi="Helvetica Neue" w:cs="Helvetica Neue"/>
        </w:rPr>
      </w:pPr>
    </w:p>
    <w:p w14:paraId="0F371AE7" w14:textId="77777777">
      <w:pPr>
        <w:rPr>
          <w:rFonts w:ascii="Helvetica Neue" w:eastAsia="Helvetica Neue" w:hAnsi="Helvetica Neue" w:cs="Helvetica Neue"/>
        </w:rPr>
      </w:pPr>
    </w:p>
    <w:p w14:paraId="500FC87E" w14:textId="77777777">
      <w:pPr>
        <w:rPr>
          <w:rFonts w:ascii="Helvetica Neue" w:eastAsia="Helvetica Neue" w:hAnsi="Helvetica Neue" w:cs="Helvetica Neue"/>
        </w:rPr>
      </w:pPr>
    </w:p>
    <w:p w14:paraId="088B5993" w14:textId="77777777">
      <w:pPr>
        <w:rPr>
          <w:rFonts w:ascii="Helvetica Neue" w:eastAsia="Helvetica Neue" w:hAnsi="Helvetica Neue" w:cs="Helvetica Neue"/>
        </w:rPr>
      </w:pPr>
    </w:p>
    <w:p w14:paraId="64F82109" w14:textId="77777777">
      <w:pPr>
        <w:rPr>
          <w:rFonts w:ascii="Helvetica Neue" w:eastAsia="Helvetica Neue" w:hAnsi="Helvetica Neue" w:cs="Helvetica Neue"/>
        </w:rPr>
      </w:pPr>
    </w:p>
    <w:p w14:paraId="1E183ECC" w14:textId="77777777">
      <w:pPr>
        <w:rPr>
          <w:rFonts w:ascii="Helvetica Neue" w:eastAsia="Helvetica Neue" w:hAnsi="Helvetica Neue" w:cs="Helvetica Neue"/>
        </w:rPr>
      </w:pPr>
    </w:p>
    <w:p w14:paraId="232DDA7F" w14:textId="77777777">
      <w:pPr>
        <w:rPr>
          <w:rFonts w:ascii="Helvetica Neue" w:eastAsia="Helvetica Neue" w:hAnsi="Helvetica Neue" w:cs="Helvetica Neue"/>
        </w:rPr>
      </w:pPr>
    </w:p>
    <w:p w14:paraId="3124116E" w14:textId="77777777">
      <w:pPr>
        <w:rPr>
          <w:rFonts w:ascii="Helvetica Neue" w:eastAsia="Helvetica Neue" w:hAnsi="Helvetica Neue" w:cs="Helvetica Neue"/>
        </w:rPr>
      </w:pPr>
    </w:p>
    <w:p w14:paraId="4FBD73E3" w14:textId="77777777">
      <w:pPr>
        <w:rPr>
          <w:rFonts w:ascii="Helvetica Neue" w:eastAsia="Helvetica Neue" w:hAnsi="Helvetica Neue" w:cs="Helvetica Neue"/>
        </w:rPr>
      </w:pPr>
    </w:p>
    <w:p w14:paraId="3213BDE2" w14:textId="77777777">
      <w:pPr>
        <w:rPr>
          <w:rFonts w:ascii="Helvetica Neue" w:eastAsia="Helvetica Neue" w:hAnsi="Helvetica Neue" w:cs="Helvetica Neue"/>
        </w:rPr>
      </w:pPr>
    </w:p>
    <w:p w14:paraId="3A684897" w14:textId="77777777">
      <w:pPr>
        <w:rPr>
          <w:rFonts w:ascii="Helvetica Neue" w:eastAsia="Helvetica Neue" w:hAnsi="Helvetica Neue" w:cs="Helvetica Neue"/>
        </w:rPr>
      </w:pPr>
    </w:p>
    <w:p w14:paraId="4DB59941" w14:textId="77777777">
      <w:pPr>
        <w:rPr>
          <w:rFonts w:ascii="Helvetica Neue" w:eastAsia="Helvetica Neue" w:hAnsi="Helvetica Neue" w:cs="Helvetica Neue"/>
        </w:rPr>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 xml:space="preserve">Project</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Rozine</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t xml:space="preserve">Kimani and Robert</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10 September 2026</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Review version</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t xml:space="preserve">review-2026-09-10.1</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Status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Owner decisions requested</w:t>
            </w:r>
          </w:p>
        </w:tc>
      </w:tr>
    </w:tbl>
    <w:p w14:paraId="518CD1A2" w14:textId="77777777">
      <w:pPr>
        <w:rPr>
          <w:rFonts w:ascii="Helvetica Neue" w:eastAsia="Helvetica Neue" w:hAnsi="Helvetica Neue" w:cs="Helvetica Neue"/>
        </w:rPr>
      </w:pPr>
    </w:p>
    <w:p w14:paraId="46ED6A92" w14:textId="77777777">
      <w:pPr>
        <w:rPr>
          <w:rFonts w:ascii="Helvetica Neue" w:eastAsia="Helvetica Neue" w:hAnsi="Helvetica Neue" w:cs="Helvetica Neue"/>
          <w:b/>
          <w:bCs/>
          <w:color w:val="112075"/>
          <w:sz w:val="30"/>
          <w:szCs w:val="30"/>
        </w:rPr>
      </w:pPr>
      <w:r>
        <w:br w:type="page"/>
      </w:r>
    </w:p>
    <w:p>
      <w:pPr>
        <w:pStyle w:val="Heading1"/>
        <w:keepNext/>
        <w:widowControl/>
      </w:pPr>
      <w:r>
        <w:t xml:space="preserve">Decisions needed for underwriting</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Kimani and Robert, we need your decisions on seven underwriting rules before we can finalize the Phase 1 policy contracts. Please review the proposals and trade-offs below and complete the decision sheet. Kimani leads Finance/Risk, Compliance and Audit Operations; Robert leads Product, Business and internal Legal. Both owners must record their respective decisions.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These proposals do not reopen the recorded 10–15% flat-return range, approved tenors, one-decimal public rating, exact-money rules or 1.25 debt-service coverage target. Owner policy decisions, engineering verification and permission to activate remain separate.</w:t>
      </w:r>
    </w:p>
    <w:p>
      <w:pPr>
        <w:pStyle w:val="Heading2"/>
        <w:keepNext/>
        <w:widowControl/>
      </w:pPr>
      <w:r>
        <w:t xml:space="preserve">Owner withdrawals</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UW-R01  |  UW-06</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deducting the greater of the verified historical monthly average of owner withdrawals and an evidenced recurring monthly commitment. Use the same complete-month window as operating cash flow. A salary already included in operating expenses must not be deducted again.</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Transfers between the Business’s own declared accounts are not owner withdrawals. Keep one-off distributions in the observed total unless Kimani approves a documented, versioned exception. Missing or ambiguous evidence requires review, not an assumed zero. Please confirm these recognition and exception rules.</w:t>
      </w:r>
    </w:p>
    <w:p>
      <w:pPr>
        <w:pStyle w:val="Heading2"/>
        <w:keepNext/>
        <w:widowControl/>
      </w:pPr>
      <w:r>
        <w:t xml:space="preserve">Existing debt service</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UW-R02  |  UW-07</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using the greater of verified historical average monthly debt service and the largest total contractual debt payment due in any month of the proposed Note term. Include existing Rozine and external obligations once, including principal, interest and mandatory charges. Do not average away balloon payments.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Exclude debt proceeds from operating inflow and avoid deducting the same debt service twice. The proposed new Note’s own payment is not existing debt. Unknown schedules or disputed amounts require evidence review. This is more conservative than a forward average and can reduce capacity; please confirm that trade-off.</w:t>
      </w:r>
    </w:p>
    <w:p>
      <w:pPr>
        <w:pStyle w:val="Heading2"/>
        <w:keepNext/>
        <w:widowControl/>
      </w:pPr>
      <w:r>
        <w:t xml:space="preserve">Unusually strong cash flow months</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UW-R03  |  UW-08</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a one-sided cap using 6–24 valid months. Sort monthly net operating cash flow from lowest to highest. Select the highest 20% of observations, rounded down with a minimum of one observation, and cap those observations at the largest remaining value. Average the adjusted series exactly without rounding intermediate values.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Retain every weak or negative month, and use the original series for the existing stability and positive-month score factors. For six months with five at RWF 4M and one at RWF 40M, the adjusted average is RWF 4M. The cap fraction is a candidate, not a calibrated result; Kimani should review representative histories and its combined impact with UW-R02 before approval.</w:t>
      </w:r>
    </w:p>
    <w:p>
      <w:pPr>
        <w:pStyle w:val="Heading2"/>
        <w:keepNext/>
        <w:widowControl/>
      </w:pPr>
      <w:r>
        <w:t xml:space="preserve">Coverage precision and display</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UW-R04  |  UW-13</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retaining the exact Coverage numerator and denominator as the decision authority. A six-decimal derived ratio may support display or caching only; two decimals may be shown ordinarily, with a clear boundary explanation where rounding would mislead.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For example, 1.249999 remains below 1.25 even if the ordinary display reads 1.25. A zero, negative or missing denominator remains unavailable with Watch health; it must not become zero, infinity or an eligibility pass. Please confirm the representation and disclosure.</w:t>
      </w:r>
    </w:p>
    <w:p>
      <w:pPr>
        <w:pStyle w:val="Heading2"/>
        <w:keepNext/>
        <w:widowControl/>
      </w:pPr>
      <w:r>
        <w:t xml:space="preserve">Prototype loan limits</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UW-R05  |  D-12 and UW-17</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explicitly rejecting the prototype RWF 5M–50M Note bounds and the 35%-of-annual-revenue capacity cap for this baseline. Computed capacity and all separately approved participant, exposure and sandbox limits still apply.</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If either prototype limit is required, please supply the exact limit, scope, rationale and supporting risk evidence for a versioned amendment. A prototype or demonstration value is not sufficient authority.</w:t>
      </w:r>
    </w:p>
    <w:p>
      <w:pPr>
        <w:pStyle w:val="Heading2"/>
        <w:keepNext/>
        <w:widowControl/>
      </w:pPr>
      <w:r>
        <w:t xml:space="preserve">Material changes and reassessment</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UW-R06  |  UW-25</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invalidating affected provisional calculations and offers when verified inputs or authority change. The event list includes new or amended monthly reports; changed debt, owner commitments or classifications; ownership or mandate changes; operating suspension or restart; material premises or business changes; arrears, reporting breach or cure; licence or evidence-seal invalidation; compliance restrictions; and policy activation.</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Reassess before acceptance or issue, using verified versions and the relevant authorized review. Keep prior evidence and calculations, prevent stale results from replacing newer ones, and preserve issued ratings, contracted yield and repayment terms. Please confirm the event list, effective-time rules and who may verify or release each event under the applicable policy.</w:t>
      </w:r>
    </w:p>
    <w:p>
      <w:pPr>
        <w:pStyle w:val="Heading2"/>
        <w:keepNext/>
        <w:widowControl/>
      </w:pPr>
      <w:r>
        <w:t xml:space="preserve">Risk restrictions and recovery</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UW-R07  |  UW-24 and Appendix A.3.4</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the matrix on the next page. Business standing and Note risk are separate: apply the most restrictive valid trigger in each dimension. A compliance suspension is not itself a financial default. Probability of default remains unavailable and uncalibrated, not a fabricated percentage.</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Please review every trigger, participant impact and release authority. The existing 90-days-past-due or earlier dual-approved unlikely-to-pay default backstop remains unchanged. Numerical grace periods, penalties and cure waiting periods still require their separate decisions; this proposal does not supply them.</w:t>
      </w:r>
    </w:p>
    <w:p w14:paraId="04DB30A6" w14:textId="77777777">
      <w:pPr>
        <w:rPr>
          <w:rFonts w:ascii="Helvetica Neue" w:eastAsia="Helvetica Neue" w:hAnsi="Helvetica Neue" w:cs="Helvetica Neue"/>
        </w:rPr>
      </w:pPr>
      <w:r>
        <w:br w:type="page"/>
      </w:r>
    </w:p>
    <w:p>
      <w:pPr>
        <w:pStyle w:val="Heading1"/>
        <w:keepNext/>
        <w:widowControl/>
      </w:pPr>
      <w:r>
        <w:t xml:space="preserve">Proposed risk and recovery matrix</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UW-R07 covers all rows below. RB0 through RB3 are internal Note-risk categories. DPD means days past due. The matrix proposes standing and action mappings; existing default, reporting-yield and score-cap requirements retain their governing authority.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960"/>
        <w:gridCol w:w="4000"/>
      </w:tblGrid>
      <w:tr w14:paraId="64E6ADB2" w14:textId="77777777">
        <w:trPr>
          <w:tblHeader/>
          <w:cantSplit/>
        </w:trPr>
        <w:tc>
          <w:tcPr>
            <w:tcW w:w="3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113DC3"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Trigger</w:t>
            </w:r>
          </w:p>
        </w:tc>
        <w:tc>
          <w:tcPr>
            <w:tcW w:w="19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37B238E"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Standing and risk</w:t>
            </w:r>
          </w:p>
        </w:tc>
        <w:tc>
          <w:tcPr>
            <w:tcW w:w="4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60FBD87"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Effect and release</w:t>
            </w:r>
          </w:p>
        </w:tc>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Current evidence and no adverse trigger; Coverage at least 1.25</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Good / RB0</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Routine monitoring. Re-evaluate after each material event.</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Coverage 1.00 to below 1.25, or unavailable</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Review / RB1</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Explain enhanced review or missing evidence; no inferred default or wallet freeze. Clear on valid recomputation, unless another trigger remains.</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Valid Coverage below 1.00</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Restricted / RB2</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Block new origination pending financial review; intensify monitoring. Release requires new verified evidence and authorized risk review.</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Monthly submission or co-signature deadline breached</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Review / RB1</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Freeze the responsible Audit Partner’s yield share and notify holders. A valid report cures the breach; yield release needs authorized Admin resolution. No automatic default.</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Confirmed post-grace arrears below 30 DPD</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Review / RB1</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Apply arrears warnings; Note cannot trade; score capped at 58. Cure requires ledger confirmation under D-23 and D-25.</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Confirmed arrears from 30 to 89 DPD</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Restricted / RB2</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Intensive review; no Note trading; score capped at 38. Cure requires ledger confirmation and the approved D-25 risk review.</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At least 90 DPD, or earlier dual-approved unlikely-to-pay</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Restricted / RB3</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Default workflow; no trading or new origination; score capped at 38. Release only through approved D-25 recovery or resolution, preserving history.</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Lawful compliance suspension or confirmed identity, authority or fraud restriction</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Suspended / financial risk unchanged</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Apply only the recorded restriction’s scope. RB2 needs a separate verified financial trigger. Named authorized release must preserve any remaining financial or default trigger.</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Evidence authenticity investigation without a confirmed fraud finding</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Review / at least RB1</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Hold affected new evidence or offers and create a review case. Audit Operations or Compliance closes it with verified evidence and a recorded outcome.</w:t>
            </w:r>
          </w:p>
        </w:tc>
        <w:trPr>
          <w:cantSplit/>
        </w:trPr>
      </w:tr>
    </w:tbl>
    <w:p>
      <w:pPr>
        <w:spacing w:after="120" w:line="276" w:lineRule="auto" w:before="120"/>
        <w:jc w:val="both"/>
        <w:rPr>
          <w:rFonts w:ascii="Helvetica Neue" w:eastAsia="Helvetica Neue" w:hAnsi="Helvetica Neue" w:cs="Helvetica Neue"/>
        </w:rPr>
        <w:widowControl/>
      </w:pPr>
      <w:r>
        <w:rPr>
          <w:rFonts w:ascii="Helvetica Neue" w:eastAsia="Helvetica Neue" w:hAnsi="Helvetica Neue" w:cs="Helvetica Neue"/>
        </w:rPr>
        <w:t xml:space="preserve">Unlisted cases must enter review and block the requested privileged action, without inventing a penalty or default. Health, standing and risk categories must not become competing public ratings. Please identify any missing trigger or release authority before signing UW-R07.</w:t>
      </w:r>
    </w:p>
    <w:p w14:paraId="04DB30A6" w14:textId="77777777">
      <w:pPr>
        <w:rPr>
          <w:rFonts w:ascii="Helvetica Neue" w:eastAsia="Helvetica Neue" w:hAnsi="Helvetica Neue" w:cs="Helvetica Neue"/>
        </w:rPr>
      </w:pPr>
      <w:r>
        <w:br w:type="page"/>
      </w:r>
    </w:p>
    <w:p>
      <w:pPr>
        <w:pStyle w:val="Heading1"/>
        <w:keepNext/>
        <w:widowControl/>
      </w:pPr>
      <w:r>
        <w:t xml:space="preserve">Record your decisions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Kimani and Robert should each enter Approve, Amend, Decline or Need evidence in their own column. For amendments, state the exact replacement rule and conditions in the final column or a dated attachment referencing the decision ID. A blank cell means the decision remains open.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2000"/>
        <w:gridCol w:w="2000"/>
        <w:gridCol w:w="2000"/>
      </w:tblGrid>
      <w:tr w14:paraId="68772BA3" w14:textId="77777777">
        <w:trPr>
          <w:tblHeader/>
          <w:cantSplit/>
        </w:trPr>
        <w:tc>
          <w:tcPr>
            <w:tcW w:w="33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E7E92C"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Decision</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EE8E3CC"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Kimani</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5777E66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Robert</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DCE9000"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Changes or conditions</w:t>
            </w:r>
          </w:p>
        </w:tc>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UW-R01  Owner withdrawals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UW-R02  Existing debt</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UW-R03  Cash flow cap</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UW-R04  Coverage precision</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UW-R05  Prototype limits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UW-R06  Material events</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UW-R07  Risk and recovery</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bl>
    <w:p>
      <w:pPr>
        <w:spacing w:after="120" w:line="276" w:lineRule="auto" w:before="120"/>
        <w:jc w:val="both"/>
        <w:rPr>
          <w:rFonts w:ascii="Helvetica Neue" w:eastAsia="Helvetica Neue" w:hAnsi="Helvetica Neue" w:cs="Helvetica Neue"/>
        </w:rPr>
        <w:widowControl/>
      </w:pPr>
      <w:r>
        <w:rPr>
          <w:rFonts w:ascii="Helvetica Neue" w:eastAsia="Helvetica Neue" w:hAnsi="Helvetica Neue" w:cs="Helvetica Neue"/>
        </w:rPr>
        <w:t xml:space="preserve"/>
      </w:r>
    </w:p>
    <w:p>
      <w:pPr>
        <w:pStyle w:val="Heading2"/>
        <w:keepNext/>
        <w:widowControl/>
      </w:pPr>
      <w:r>
        <w:t xml:space="preserve">Evidence and review assignments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Please name the owner of an authorized, representative financial-evidence set, its labelled transaction classifications and expected outcomes. Kimani must review the combined debt and cash-flow-cap sensitivity, normalization rules, confidence settings and scorecard specification. Use approved secure channels and exclude prohibited tax-system or TIN data. Name a qualified reviewer who did not solely author the work and identify any required external professional or regulatory review.</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Evidence owner and delivery date  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Independent reviewer and review date  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External review required and coordinating owner  ________________________</w:t>
      </w:r>
    </w:p>
    <w:p w14:paraId="04DB30A6" w14:textId="77777777">
      <w:pPr>
        <w:rPr>
          <w:rFonts w:ascii="Helvetica Neue" w:eastAsia="Helvetica Neue" w:hAnsi="Helvetica Neue" w:cs="Helvetica Neue"/>
        </w:rPr>
      </w:pPr>
      <w:r>
        <w:br w:type="page"/>
      </w:r>
    </w:p>
    <w:p>
      <w:pPr>
        <w:pStyle w:val="Heading1"/>
        <w:keepNext/>
        <w:widowControl/>
      </w:pPr>
      <w:r>
        <w:t xml:space="preserve">Approvals and activation conditions</w:t>
      </w:r>
    </w:p>
    <w:p>
      <w:pPr>
        <w:pStyle w:val="Heading2"/>
        <w:keepNext/>
        <w:widowControl/>
      </w:pPr>
      <w:r>
        <w:t xml:space="preserve">Conditions before activation</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Aminu and Erastus must confirm contract feasibility, implement approved rules and complete the required calculation, persistence, interface and replay tests. The policy version, effective time, fixture-set hash and actual approvals must then be recorded. Decisions on identity, fees, units, limits, schedules, recovery and providers remain separate where still open. Signing this form does not close those dependencies.</w:t>
      </w:r>
    </w:p>
    <w:p>
      <w:pPr>
        <w:pStyle w:val="Heading2"/>
        <w:keepNext/>
        <w:widowControl/>
      </w:pPr>
      <w:r>
        <w:t xml:space="preserve">Named owner sign off</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Signing confirms only the decisions explicitly recorded above, subject to the written conditions. It does not approve untested implementation, activate financial policy, authorize deployment, or replace any required independent or external approval.</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Kimani   Finance Risk Compliance and Audit Operations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Signature  __________________________    Date  ________________________</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Robert   Product Business and internal Legal</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Signature  __________________________    Date  ________________________</w:t>
      </w:r>
    </w:p>
    <w:p>
      <w:pPr>
        <w:pStyle w:val="Heading2"/>
        <w:keepNext/>
        <w:widowControl/>
      </w:pPr>
      <w:r>
        <w:t xml:space="preserve">Additional conditions or attachments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Reference the relevant decision IDs. Leave blank if there are no additional conditions.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Source record: Rozine BRS v1.0; Phased Implementation Plan Appendix A and D-11, D-11A–C, D-12, D-13 and D-14; Underwriting Decision Review, review-2026-09-10.1. This memorandum records the seven proposals above and must be reconciled into the controlled worksheet after decisions are received.</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Owner review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Rozine underwriting decisions</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