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D4EEE" w14:textId="77777777">
      <w:pPr>
        <w:pStyle w:val="Heading1"/>
        <w:pBdr>
          <w:top w:val="nil"/>
          <w:left w:val="nil"/>
          <w:bottom w:val="nil"/>
          <w:right w:val="nil"/>
          <w:between w:val="nil"/>
        </w:pBdr>
        <w:jc w:val="center"/>
        <w:rPr>
          <w:color w:val="829EFF"/>
          <w:sz w:val="20"/>
          <w:szCs w:val="20"/>
        </w:rPr>
      </w:pPr>
    </w:p>
    <w:p w14:paraId="0619F55A" w14:textId="77777777"/>
    <w:p w14:paraId="2CE63EF6" w14:textId="77777777"/>
    <w:p w14:paraId="180A1EDD" w14:textId="77777777">
      <w:pPr>
        <w:pStyle w:val="Title"/>
      </w:pPr>
      <w:bookmarkStart w:id="0" w:name="_qzuc5iwubkm" w:colFirst="0" w:colLast="0"/>
      <w:bookmarkEnd w:id="0"/>
      <w:r>
        <w:t xml:space="preserve">SECONDARY MARKET</w:t>
      </w:r>
    </w:p>
    <w:p w14:paraId="574EC04D" w14:textId="77777777">
      <w:pPr>
        <w:pStyle w:val="Heading1"/>
        <w:pBdr>
          <w:top w:val="nil"/>
          <w:left w:val="nil"/>
          <w:bottom w:val="nil"/>
          <w:right w:val="nil"/>
          <w:between w:val="nil"/>
        </w:pBdr>
        <w:jc w:val="center"/>
        <w:rPr>
          <w:color w:val="8A96DA"/>
        </w:rPr>
      </w:pPr>
      <w:r>
        <w:rPr>
          <w:color w:val="8A96DA"/>
        </w:rPr>
        <w:t xml:space="preserve">Rozine policy decisions and approval</w:t>
      </w:r>
    </w:p>
    <w:p w14:paraId="033436C6" w14:textId="77777777"/>
    <w:p w14:paraId="0525F385" w14:textId="77777777">
      <w:pPr>
        <w:rPr>
          <w:rFonts w:ascii="Helvetica Neue" w:eastAsia="Helvetica Neue" w:hAnsi="Helvetica Neue" w:cs="Helvetica Neue"/>
        </w:rPr>
      </w:pPr>
    </w:p>
    <w:p w14:paraId="1BFBE187" w14:textId="77777777">
      <w:pPr>
        <w:rPr>
          <w:rFonts w:ascii="Helvetica Neue" w:eastAsia="Helvetica Neue" w:hAnsi="Helvetica Neue" w:cs="Helvetica Neue"/>
        </w:rPr>
      </w:pPr>
    </w:p>
    <w:p w14:paraId="2907C8F6" w14:textId="77777777">
      <w:pPr>
        <w:rPr>
          <w:rFonts w:ascii="Helvetica Neue" w:eastAsia="Helvetica Neue" w:hAnsi="Helvetica Neue" w:cs="Helvetica Neue"/>
        </w:rPr>
      </w:pPr>
    </w:p>
    <w:p w14:paraId="2AB55E29" w14:textId="77777777">
      <w:pPr>
        <w:rPr>
          <w:rFonts w:ascii="Helvetica Neue" w:eastAsia="Helvetica Neue" w:hAnsi="Helvetica Neue" w:cs="Helvetica Neue"/>
        </w:rPr>
      </w:pPr>
    </w:p>
    <w:p w14:paraId="0AEA07BD" w14:textId="77777777">
      <w:pPr>
        <w:rPr>
          <w:rFonts w:ascii="Helvetica Neue" w:eastAsia="Helvetica Neue" w:hAnsi="Helvetica Neue" w:cs="Helvetica Neue"/>
        </w:rPr>
      </w:pPr>
    </w:p>
    <w:p w14:paraId="4F37A404" w14:textId="77777777">
      <w:pPr>
        <w:rPr>
          <w:rFonts w:ascii="Helvetica Neue" w:eastAsia="Helvetica Neue" w:hAnsi="Helvetica Neue" w:cs="Helvetica Neue"/>
        </w:rPr>
      </w:pPr>
    </w:p>
    <w:p w14:paraId="249C1CCC" w14:textId="77777777">
      <w:pPr>
        <w:rPr>
          <w:rFonts w:ascii="Helvetica Neue" w:eastAsia="Helvetica Neue" w:hAnsi="Helvetica Neue" w:cs="Helvetica Neue"/>
        </w:rPr>
      </w:pPr>
    </w:p>
    <w:p w14:paraId="140994CE" w14:textId="77777777">
      <w:pPr>
        <w:rPr>
          <w:rFonts w:ascii="Helvetica Neue" w:eastAsia="Helvetica Neue" w:hAnsi="Helvetica Neue" w:cs="Helvetica Neue"/>
        </w:rPr>
      </w:pPr>
    </w:p>
    <w:p w14:paraId="4E9E5C61" w14:textId="77777777">
      <w:pPr>
        <w:rPr>
          <w:rFonts w:ascii="Helvetica Neue" w:eastAsia="Helvetica Neue" w:hAnsi="Helvetica Neue" w:cs="Helvetica Neue"/>
        </w:rPr>
      </w:pPr>
    </w:p>
    <w:p w14:paraId="2C4AE243" w14:textId="77777777">
      <w:pPr>
        <w:rPr>
          <w:rFonts w:ascii="Helvetica Neue" w:eastAsia="Helvetica Neue" w:hAnsi="Helvetica Neue" w:cs="Helvetica Neue"/>
        </w:rPr>
      </w:pPr>
    </w:p>
    <w:p w14:paraId="4FD6E2D4" w14:textId="77777777">
      <w:pPr>
        <w:rPr>
          <w:rFonts w:ascii="Helvetica Neue" w:eastAsia="Helvetica Neue" w:hAnsi="Helvetica Neue" w:cs="Helvetica Neue"/>
        </w:rPr>
      </w:pPr>
    </w:p>
    <w:p w14:paraId="01C8CB97" w14:textId="77777777">
      <w:pPr>
        <w:rPr>
          <w:rFonts w:ascii="Helvetica Neue" w:eastAsia="Helvetica Neue" w:hAnsi="Helvetica Neue" w:cs="Helvetica Neue"/>
        </w:rPr>
      </w:pPr>
    </w:p>
    <w:p w14:paraId="0F371AE7" w14:textId="77777777">
      <w:pPr>
        <w:rPr>
          <w:rFonts w:ascii="Helvetica Neue" w:eastAsia="Helvetica Neue" w:hAnsi="Helvetica Neue" w:cs="Helvetica Neue"/>
        </w:rPr>
      </w:pPr>
    </w:p>
    <w:p w14:paraId="500FC87E" w14:textId="77777777">
      <w:pPr>
        <w:rPr>
          <w:rFonts w:ascii="Helvetica Neue" w:eastAsia="Helvetica Neue" w:hAnsi="Helvetica Neue" w:cs="Helvetica Neue"/>
        </w:rPr>
      </w:pPr>
    </w:p>
    <w:p w14:paraId="088B5993" w14:textId="77777777">
      <w:pPr>
        <w:rPr>
          <w:rFonts w:ascii="Helvetica Neue" w:eastAsia="Helvetica Neue" w:hAnsi="Helvetica Neue" w:cs="Helvetica Neue"/>
        </w:rPr>
      </w:pPr>
    </w:p>
    <w:p w14:paraId="64F82109" w14:textId="77777777">
      <w:pPr>
        <w:rPr>
          <w:rFonts w:ascii="Helvetica Neue" w:eastAsia="Helvetica Neue" w:hAnsi="Helvetica Neue" w:cs="Helvetica Neue"/>
        </w:rPr>
      </w:pPr>
    </w:p>
    <w:p w14:paraId="1E183ECC" w14:textId="77777777">
      <w:pPr>
        <w:rPr>
          <w:rFonts w:ascii="Helvetica Neue" w:eastAsia="Helvetica Neue" w:hAnsi="Helvetica Neue" w:cs="Helvetica Neue"/>
        </w:rPr>
      </w:pPr>
    </w:p>
    <w:p w14:paraId="232DDA7F" w14:textId="77777777">
      <w:pPr>
        <w:rPr>
          <w:rFonts w:ascii="Helvetica Neue" w:eastAsia="Helvetica Neue" w:hAnsi="Helvetica Neue" w:cs="Helvetica Neue"/>
        </w:rPr>
      </w:pPr>
    </w:p>
    <w:p w14:paraId="3124116E" w14:textId="77777777">
      <w:pPr>
        <w:rPr>
          <w:rFonts w:ascii="Helvetica Neue" w:eastAsia="Helvetica Neue" w:hAnsi="Helvetica Neue" w:cs="Helvetica Neue"/>
        </w:rPr>
      </w:pPr>
    </w:p>
    <w:p w14:paraId="4FBD73E3" w14:textId="77777777">
      <w:pPr>
        <w:rPr>
          <w:rFonts w:ascii="Helvetica Neue" w:eastAsia="Helvetica Neue" w:hAnsi="Helvetica Neue" w:cs="Helvetica Neue"/>
        </w:rPr>
      </w:pPr>
    </w:p>
    <w:p w14:paraId="3213BDE2" w14:textId="77777777">
      <w:pPr>
        <w:rPr>
          <w:rFonts w:ascii="Helvetica Neue" w:eastAsia="Helvetica Neue" w:hAnsi="Helvetica Neue" w:cs="Helvetica Neue"/>
        </w:rPr>
      </w:pPr>
    </w:p>
    <w:p w14:paraId="3A684897" w14:textId="77777777">
      <w:pPr>
        <w:rPr>
          <w:rFonts w:ascii="Helvetica Neue" w:eastAsia="Helvetica Neue" w:hAnsi="Helvetica Neue" w:cs="Helvetica Neue"/>
        </w:rPr>
      </w:pPr>
    </w:p>
    <w:p w14:paraId="4DB59941" w14:textId="77777777">
      <w:pPr>
        <w:rPr>
          <w:rFonts w:ascii="Helvetica Neue" w:eastAsia="Helvetica Neue" w:hAnsi="Helvetica Neue" w:cs="Helvetica Neue"/>
        </w:rPr>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 xml:space="preserve">Project</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Rozine</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t xml:space="preserve">Kimani and Robert</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10 September 2026</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Review version</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t xml:space="preserve">review-2026-09-10.1</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Status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Owner decisions requested</w:t>
            </w:r>
          </w:p>
        </w:tc>
      </w:tr>
    </w:tbl>
    <w:p w14:paraId="518CD1A2" w14:textId="77777777">
      <w:pPr>
        <w:rPr>
          <w:rFonts w:ascii="Helvetica Neue" w:eastAsia="Helvetica Neue" w:hAnsi="Helvetica Neue" w:cs="Helvetica Neue"/>
        </w:rPr>
      </w:pPr>
    </w:p>
    <w:p w14:paraId="46ED6A92" w14:textId="77777777">
      <w:pPr>
        <w:rPr>
          <w:rFonts w:ascii="Helvetica Neue" w:eastAsia="Helvetica Neue" w:hAnsi="Helvetica Neue" w:cs="Helvetica Neue"/>
          <w:b/>
          <w:bCs/>
          <w:color w:val="112075"/>
          <w:sz w:val="30"/>
          <w:szCs w:val="30"/>
        </w:rPr>
      </w:pPr>
      <w:r>
        <w:br w:type="page"/>
      </w:r>
    </w:p>
    <w:p>
      <w:pPr>
        <w:pStyle w:val="Heading1"/>
        <w:keepNext/>
        <w:widowControl/>
      </w:pPr>
      <w:r>
        <w:t xml:space="preserve">Decisions needed for secondary trading</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Kimani and Robert, we need your decisions on the order and pricing rules before the Phase 1 secondary-market contracts can be finalized. Please review SEC-R01 through SEC-R10 and complete the response sheet. Kimani leads Finance/Risk and Compliance; Robert leads Product, Business and internal Legal. Aminu and Erastus retain responsibility for implementation and technical evidence.</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 MVP must support eligible Investor-to-Investor trades. Rozine must not buy inventory, make a market, promise an exit or add prohibited trading fees. Arrears, Default and Disputed Notes cannot trade. The proposals below do not activate a market or replace required external legal or regulatory approval.</w:t>
      </w:r>
    </w:p>
    <w:p>
      <w:pPr>
        <w:pStyle w:val="Heading2"/>
        <w:keepNext/>
        <w:widowControl/>
      </w:pPr>
      <w:r>
        <w:t xml:space="preserve">Order structure</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SEC-R01  |  D-26 Option A proposed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fixed-price, all-or-nothing orders over a seller-selected quantity of fully settled eligible units. A buyer takes the entire posted quantity. Partial-fill order books and request-for-quote matching remain alternatives if you reject this simpler MVP structure.</w:t>
      </w:r>
    </w:p>
    <w:p>
      <w:pPr>
        <w:pStyle w:val="Heading2"/>
        <w:keepNext/>
        <w:widowControl/>
      </w:pPr>
      <w:r>
        <w:t xml:space="preserve">Order expiry</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SEC-R02  |  D-26 candidate parameter</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propose expiry exactly seven days after server creation, without silent extensions. A seller may explicitly cancel and relist while eligible. Please confirm the duration and relisting rule.</w:t>
      </w:r>
    </w:p>
    <w:p>
      <w:pPr>
        <w:pStyle w:val="Heading2"/>
        <w:keepNext/>
        <w:widowControl/>
      </w:pPr>
      <w:r>
        <w:t xml:space="preserve">Buyer reservation</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SEC-R03  |  D-26 candidate parameter</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propose a five-minute reservation, backed by funds already settled in the buyer’s wallet. No bank or mobile-money transfer is awaited inside the trade. A release or timeout returns an otherwise valid order to Open and releases buyer cash exactly once.</w:t>
      </w:r>
    </w:p>
    <w:p>
      <w:pPr>
        <w:pStyle w:val="Heading2"/>
        <w:keepNext/>
        <w:widowControl/>
      </w:pPr>
      <w:r>
        <w:t xml:space="preserve">Seller prices and cash flow cap</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SEC-R04  |  D-27 Option A proposed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positive whole-RWF prices per unit, chosen by the seller. The total ask must not exceed the remaining contractual gross payouts allocated to the selected units that have not already vested to a holder. Use the actual allocation, not a rounded average multiplied back.</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 cap is an eligibility ceiling, not a Rozine valuation, quote or liquidity commitment. Robert must confirm compatibility with the BRS prohibition on platform price-setting and arrange required external review. If that interpretation fails, revise the proposal before contract freeze.</w:t>
      </w:r>
    </w:p>
    <w:p>
      <w:pPr>
        <w:pStyle w:val="Heading2"/>
        <w:keepNext/>
        <w:widowControl/>
      </w:pPr>
      <w:r>
        <w:t xml:space="preserve">Fees and buyer disclosure</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SEC-R05  |  Existing BRS fee with proposed settlement contract</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Retain the BRS 3% seller fee on settled gross consideration, rounded half-up once per trade. Charge no buyer acquisition fee and no secondary listing, reservation, cancellation or expiry fee. The existing 1% investor fee still applies to future actual Note payouts.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At gross consideration of RWF 10,050, the seller fee is RWF 302 and net proceeds are RWF 9,748; the buyer pays RWF 10,050. Disclose the price, principal, remaining schedule, fees, rating, health, permitted report and loss or illiquidity risk before confirmation. Contractual receipts are not guaranteed.</w:t>
      </w:r>
    </w:p>
    <w:p>
      <w:pPr>
        <w:pStyle w:val="Heading2"/>
        <w:keepNext/>
        <w:widowControl/>
      </w:pPr>
      <w:r>
        <w:t xml:space="preserve">Small holdings and the minimum purchase</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SEC-R06  |  D-10 and BR-27 interpretation required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retaining the RWF 5,000 investment minimum for secondary purchases unless you approve a specific BRS/product/legal exception. A holding with RWF 3,000 remaining payouts cannot meet both that minimum and the SEC-R04 price cap. It would be unlistable even if its original investment was valid.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 proposed outcome is a clear undersized-order denial and a hold-to-maturity path. A seller may combine their own eligible units of the same Note if the combined order genuinely meets the minimum. Please explicitly accept this restriction or define the exact exception and required amendment. Do not resolve it through a platform buyback, hidden cap or liquidity promise. Unit size and residual allocation remain D-10 decisions.</w:t>
      </w:r>
    </w:p>
    <w:p>
      <w:pPr>
        <w:pStyle w:val="Heading2"/>
        <w:keepNext/>
        <w:widowControl/>
      </w:pPr>
      <w:r>
        <w:t xml:space="preserve">Who receives the next payout</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SEC-R07  |  D-23 calendar dependency</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propose a published ownership cutoff at 00:00 Africa/Kigali on each contractual due date. Only settlements completed before the cutoff transfer entitlement to that scheduled payout. At or after the cutoff, the seller’s vested entitlement remains theirs, even if payment arrives late.</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 system must serialize the cutoff and trade to prevent duplicate entitlement. Recompute the price cap from future unvested payouts after the cutoff. Please confirm the cutoff convention and how approved calendars, holidays and changed due dates interact with it.</w:t>
      </w:r>
    </w:p>
    <w:p>
      <w:pPr>
        <w:pStyle w:val="Heading2"/>
        <w:keepNext/>
        <w:widowControl/>
      </w:pPr>
      <w:r>
        <w:t xml:space="preserve">Market halts and lost eligibility</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SEC-R08  |  Terminal suspension proposed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We recommend terminating affected open or reserved orders as Suspended when a global or Note-specific halt or eligibility loss applies. Release uncommitted cash and units once. Do not reactivate orders automatically; the seller may submit a fresh order only after authorized clearance.</w:t>
      </w:r>
    </w:p>
    <w:p>
      <w:pPr>
        <w:pStyle w:val="Heading2"/>
        <w:keepNext/>
        <w:widowControl/>
      </w:pPr>
      <w:r>
        <w:t xml:space="preserve">Cancellation and price changes</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SEC-R09  |  Immutable consent proposed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A seller may cancel only while the order is Open. A price change requires cancellation and a new order. Reject seller cancellation while a buyer reservation is active and explain when it will expire. Authorized Admin cancellation requires a reason; a settled trade can be corrected only through a separately authorized compensating process.</w:t>
      </w:r>
    </w:p>
    <w:p>
      <w:pPr>
        <w:pStyle w:val="Heading2"/>
        <w:keepNext/>
        <w:widowControl/>
      </w:pPr>
      <w:r>
        <w:t xml:space="preserve">Suspicious trading and review cases</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SEC-R10  |  Candidate thresholds requiring review</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Block self-trades and trades involving the same beneficial owner. We propose review-only flags for reciprocal owner-pair trades within 30 days; at least three cancellation or relisting actions in one hour; at least five order creations in ten minutes; or an ask below 50% of remaining contractual gross payouts.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These are initial surveillance candidates, not calibrated fraud rules. They create attributed, access-controlled review cases; they must not automatically trigger default, confiscation or a customer penalty. Please confirm or replace each threshold and identify the authority that investigates, restricts or releases a case.</w:t>
      </w:r>
    </w:p>
    <w:p>
      <w:pPr>
        <w:pStyle w:val="Heading1"/>
        <w:keepNext/>
        <w:widowControl/>
      </w:pPr>
      <w:r>
        <w:t xml:space="preserve">Settlement and recovery requirements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Please confirm the business outcomes below as part of D-26. Engineering must prove atomic cash and unit transfer, fee posting, audit history, rollback and safe retry before any trade is enabled. A client timeout is not proof that settlement failed.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960"/>
        <w:gridCol w:w="4000"/>
      </w:tblGrid>
      <w:tr w14:paraId="64E6ADB2" w14:textId="77777777">
        <w:trPr>
          <w:tblHeader/>
          <w:cantSplit/>
        </w:trPr>
        <w:tc>
          <w:tcPr>
            <w:tcW w:w="3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113DC3"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Event</w:t>
            </w:r>
          </w:p>
        </w:tc>
        <w:tc>
          <w:tcPr>
            <w:tcW w:w="19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37B238E"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Outcome</w:t>
            </w:r>
          </w:p>
        </w:tc>
        <w:tc>
          <w:tcPr>
            <w:tcW w:w="4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60FBD87"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Required control</w:t>
            </w:r>
          </w:p>
        </w:tc>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Eligible seller creates an order</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Open</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Reserve exactly the listed units against duplicate selling. No buyer cash moves.</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Eligible distinct buyer reserves</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Reserved</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Reserve the exact gross cash and units together. Duplicate requests return the same result.</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Buyer confirms before expiry with all gates still passing</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Settled</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Transfer cash and units and post seller fees and durable history in one transaction, or change nothing.</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Buyer releases or five-minute reservation expires</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Open if still valid</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Release buyer cash once. Keep the seller’s allocation for the open order.</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Seven-day order expiry</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Expired</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Release all uncommitted reservations once; no expiry fee.</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Seller cancels while Open</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Cancelled</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Release the seller’s allocation once and retain history.</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Authorized Admin cancels before settlement</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AdminCancelled</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Require a reason and release uncommitted reservations once. Do not erase a settled trade.</w:t>
            </w:r>
          </w:p>
        </w:tc>
        <w:trPr>
          <w:cantSplit/>
        </w:trPr>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Halt or authoritative eligibility loss</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Suspended</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Block confirmation and release reservations once. Require fresh seller listing after clearance.</w:t>
            </w:r>
          </w:p>
        </w:tc>
        <w:trPr>
          <w:cantSplit/>
        </w:trPr>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Repeated command or uncertain network outcome</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Recorded result</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Inspect the existing trade and ledger before retrying. Never duplicate a fee, transfer or refund.</w:t>
            </w:r>
          </w:p>
        </w:tc>
        <w:trPr>
          <w:cantSplit/>
        </w:trPr>
      </w:tr>
    </w:tbl>
    <w:p>
      <w:pPr>
        <w:spacing w:after="120" w:line="276" w:lineRule="auto" w:before="120"/>
        <w:jc w:val="both"/>
        <w:rPr>
          <w:rFonts w:ascii="Helvetica Neue" w:eastAsia="Helvetica Neue" w:hAnsi="Helvetica Neue" w:cs="Helvetica Neue"/>
        </w:rPr>
        <w:widowControl/>
      </w:pPr>
      <w:r>
        <w:rPr>
          <w:rFonts w:ascii="Helvetica Neue" w:eastAsia="Helvetica Neue" w:hAnsi="Helvetica Neue" w:cs="Helvetica Neue"/>
        </w:rPr>
        <w:t xml:space="preserve">Eligibility must be checked at creation, reservation and settlement against current ownership, KYC, limits, settled balances, Note status, restrictions, disclosures and policy versions. Competing buyers, expiry, halts and payout cutoffs must have one valid outcome. PostgreSQL concurrency and failure tests remain engineering work, not a signature request to Kimani or Robert.</w:t>
      </w:r>
    </w:p>
    <w:p w14:paraId="04DB30A6" w14:textId="77777777">
      <w:pPr>
        <w:rPr>
          <w:rFonts w:ascii="Helvetica Neue" w:eastAsia="Helvetica Neue" w:hAnsi="Helvetica Neue" w:cs="Helvetica Neue"/>
        </w:rPr>
      </w:pPr>
      <w:r>
        <w:br w:type="page"/>
      </w:r>
    </w:p>
    <w:p>
      <w:pPr>
        <w:pStyle w:val="Heading1"/>
        <w:keepNext/>
        <w:widowControl/>
      </w:pPr>
      <w:r>
        <w:t xml:space="preserve">Record your decisions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Kimani and Robert should each enter Approve, Amend, Decline or Need evidence in their own column. For amendments, state the exact replacement rule and conditions in the final column or a dated attachment referencing the decision ID. A blank cell means the decision remains open.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2000"/>
        <w:gridCol w:w="2000"/>
        <w:gridCol w:w="2000"/>
      </w:tblGrid>
      <w:tr w14:paraId="68772BA3" w14:textId="77777777">
        <w:trPr>
          <w:tblHeader/>
          <w:cantSplit/>
        </w:trPr>
        <w:tc>
          <w:tcPr>
            <w:tcW w:w="33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E7E92C"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Decision</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EE8E3CC"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Kimani</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5777E66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Robert</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DCE9000"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Changes or conditions</w:t>
            </w:r>
          </w:p>
        </w:tc>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SEC-R01  Order structure</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SEC-R02  Seven day expiry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SEC-R03  Five minute reservation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SEC-R04  Seller price cap</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SEC-R05  Fees and disclosure</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SEC-R06  Minimum purchase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SEC-R07  Payout ownership cutoff</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SEC-R08  Halts and suspension</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SEC-R09  Cancel and reprice</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jc w:val="left"/>
            </w:pPr>
            <w:r>
              <w:rPr>
                <w:rFonts w:ascii="Helvetica Neue" w:eastAsia="Helvetica Neue" w:hAnsi="Helvetica Neue" w:cs="Helvetica Neue"/>
                <w:color w:val="000000"/>
                <w:sz w:val="20"/>
                <w:szCs w:val="20"/>
              </w:rPr>
              <w:t xml:space="preserve">SEC-R10  Surveillance rules</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left"/>
              <w:rPr>
                <w:rFonts w:ascii="Helvetica Neue" w:eastAsia="Helvetica Neue" w:hAnsi="Helvetica Neue" w:cs="Helvetica Neue"/>
              </w:rPr>
            </w:pPr>
            <w:r>
              <w:rPr>
                <w:rFonts w:ascii="Helvetica Neue" w:eastAsia="Helvetica Neue" w:hAnsi="Helvetica Neue" w:cs="Helvetica Neue"/>
                <w:color w:val="000000"/>
                <w:sz w:val="20"/>
                <w:szCs w:val="20"/>
              </w:rPr>
              <w:t xml:space="preserve"/>
            </w:r>
          </w:p>
        </w:tc>
        <w:trPr>
          <w:cantSplit/>
          <w:trHeight w:val="420" w:hRule="atLeast"/>
        </w:trPr>
      </w:tr>
    </w:tbl>
    <w:p>
      <w:pPr>
        <w:spacing w:after="120" w:line="276" w:lineRule="auto" w:before="120"/>
        <w:jc w:val="both"/>
        <w:rPr>
          <w:rFonts w:ascii="Helvetica Neue" w:eastAsia="Helvetica Neue" w:hAnsi="Helvetica Neue" w:cs="Helvetica Neue"/>
        </w:rPr>
        <w:widowControl/>
      </w:pPr>
      <w:r>
        <w:rPr>
          <w:rFonts w:ascii="Helvetica Neue" w:eastAsia="Helvetica Neue" w:hAnsi="Helvetica Neue" w:cs="Helvetica Neue"/>
        </w:rPr>
        <w:t xml:space="preserve"/>
      </w:r>
    </w:p>
    <w:p>
      <w:pPr>
        <w:pStyle w:val="Heading2"/>
        <w:keepNext/>
        <w:widowControl/>
      </w:pPr>
      <w:r>
        <w:t xml:space="preserve">Evidence and review assignments</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Please identify the external legal or regulatory review required for the secondary structure and price-cap interpretation, with a coordinating owner and expected date. Name a reviewer who did not solely author the work. Record any conditions on the purchase minimum, unit allocation, schedules, eligibility or recovery before the contracts are finalized.</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Evidence owner and delivery date  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Independent reviewer and review date  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External review required and coordinating owner  ________________________</w:t>
      </w:r>
    </w:p>
    <w:p w14:paraId="04DB30A6" w14:textId="77777777">
      <w:pPr>
        <w:rPr>
          <w:rFonts w:ascii="Helvetica Neue" w:eastAsia="Helvetica Neue" w:hAnsi="Helvetica Neue" w:cs="Helvetica Neue"/>
        </w:rPr>
      </w:pPr>
      <w:r>
        <w:br w:type="page"/>
      </w:r>
    </w:p>
    <w:p>
      <w:pPr>
        <w:pStyle w:val="Heading1"/>
        <w:keepNext/>
        <w:widowControl/>
      </w:pPr>
      <w:r>
        <w:t xml:space="preserve">Approvals and activation conditions</w:t>
      </w:r>
    </w:p>
    <w:p>
      <w:pPr>
        <w:pStyle w:val="Heading2"/>
        <w:keepNext/>
        <w:widowControl/>
      </w:pPr>
      <w:r>
        <w:t xml:space="preserve">Conditions before trading is enabled</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Aminu and Erastus must freeze the approved Holding, Order, reservation, fee, entitlement, halt and interface contracts; then implement and verify them. Required evidence includes duplicate-command handling, competing buyers, expiry and halt races, failure recovery, exact fees, payout ownership and full cash/unit reconciliation. Actual policy versions, effective times and owner, independent and external approvals remain required.</w:t>
      </w:r>
    </w:p>
    <w:p>
      <w:pPr>
        <w:pStyle w:val="Heading2"/>
        <w:keepNext/>
        <w:widowControl/>
      </w:pPr>
      <w:r>
        <w:t xml:space="preserve">Named owner sign off</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Signing confirms only the decisions explicitly recorded above, subject to the written conditions. It does not approve untested implementation, activate financial policy, authorize deployment, or replace any required independent or external approval.</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Kimani   Finance Risk Compliance and Audit Operations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Signature  __________________________    Date  ________________________</w:t>
      </w:r>
    </w:p>
    <w:p>
      <w:pPr>
        <w:spacing w:after="120" w:line="276" w:lineRule="auto"/>
        <w:jc w:val="left"/>
        <w:rPr>
          <w:rFonts w:ascii="Helvetica Neue" w:eastAsia="Helvetica Neue" w:hAnsi="Helvetica Neue" w:cs="Helvetica Neue"/>
        </w:rPr>
        <w:keepNext/>
        <w:widowControl/>
      </w:pPr>
      <w:r>
        <w:rPr>
          <w:rFonts w:ascii="Helvetica Neue" w:eastAsia="Helvetica Neue" w:hAnsi="Helvetica Neue" w:cs="Helvetica Neue"/>
        </w:rPr>
        <w:t xml:space="preserve">Robert   Product Business and internal Legal</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Signature  __________________________    Date  ________________________</w:t>
      </w:r>
    </w:p>
    <w:p>
      <w:pPr>
        <w:pStyle w:val="Heading2"/>
        <w:keepNext/>
        <w:widowControl/>
      </w:pPr>
      <w:r>
        <w:t xml:space="preserve">Additional conditions or attachments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Reference the relevant decision IDs. Leave blank if there are no additional conditions.</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left"/>
        <w:rPr>
          <w:rFonts w:ascii="Helvetica Neue" w:eastAsia="Helvetica Neue" w:hAnsi="Helvetica Neue" w:cs="Helvetica Neue"/>
        </w:rPr>
        <w:widowControl/>
      </w:pPr>
      <w:r>
        <w:rPr>
          <w:rFonts w:ascii="Helvetica Neue" w:eastAsia="Helvetica Neue" w:hAnsi="Helvetica Neue" w:cs="Helvetica Neue"/>
        </w:rPr>
        <w:t xml:space="preserve">_________________________________________________________________</w:t>
      </w:r>
    </w:p>
    <w:p>
      <w:pPr>
        <w:spacing w:after="120" w:line="276" w:lineRule="auto"/>
        <w:jc w:val="both"/>
        <w:rPr>
          <w:rFonts w:ascii="Helvetica Neue" w:eastAsia="Helvetica Neue" w:hAnsi="Helvetica Neue" w:cs="Helvetica Neue"/>
        </w:rPr>
        <w:widowControl/>
      </w:pPr>
      <w:r>
        <w:rPr>
          <w:rFonts w:ascii="Helvetica Neue" w:eastAsia="Helvetica Neue" w:hAnsi="Helvetica Neue" w:cs="Helvetica Neue"/>
        </w:rPr>
        <w:t xml:space="preserve">Source record: Rozine BRS v1.0, BR-27, BR-62/64 and BR-70–75; Phased Implementation Plan D-10, D-23, D-26, D-27, D-39 and D-60; Secondary Contract Review, review-2026-09-10.1. This memorandum records the proposals above and must be reconciled into the controlled decision register after responses are received.</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Owner review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Rozine secondary market decisions</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