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Rozine underwriting and secondary trading decision record</w:t>
      </w:r>
    </w:p>
    <w:p>
      <w:r>
        <w:rPr>
          <w:rFonts w:ascii="Arial" w:hAnsi="Arial"/>
          <w:b/>
          <w:color w:val="000000"/>
        </w:rPr>
        <w:t>From:</w:t>
      </w:r>
      <w:r>
        <w:rPr>
          <w:rFonts w:ascii="Arial" w:hAnsi="Arial"/>
          <w:b w:val="0"/>
          <w:color w:val="000000"/>
        </w:rPr>
        <w:t xml:space="preserve"> Hussain Aminu</w:t>
      </w:r>
    </w:p>
    <w:p>
      <w:r>
        <w:rPr>
          <w:rFonts w:ascii="Arial" w:hAnsi="Arial"/>
          <w:b/>
          <w:color w:val="000000"/>
        </w:rPr>
        <w:t>To:</w:t>
      </w:r>
      <w:r>
        <w:rPr>
          <w:rFonts w:ascii="Arial" w:hAnsi="Arial"/>
          <w:b w:val="0"/>
          <w:color w:val="000000"/>
        </w:rPr>
        <w:t xml:space="preserve"> Robert and Kimani</w:t>
      </w:r>
    </w:p>
    <w:p>
      <w:r>
        <w:rPr>
          <w:rFonts w:ascii="Arial" w:hAnsi="Arial"/>
          <w:b/>
          <w:color w:val="000000"/>
        </w:rPr>
        <w:t>Date:</w:t>
      </w:r>
      <w:r>
        <w:rPr>
          <w:rFonts w:ascii="Arial" w:hAnsi="Arial"/>
          <w:b w:val="0"/>
          <w:color w:val="000000"/>
        </w:rPr>
        <w:t xml:space="preserve"> 20 September 2026</w:t>
      </w:r>
    </w:p>
    <w:p>
      <w:r>
        <w:rPr>
          <w:rFonts w:ascii="Arial" w:hAnsi="Arial"/>
          <w:b/>
          <w:color w:val="000000"/>
        </w:rPr>
        <w:t>Version:</w:t>
      </w:r>
      <w:r>
        <w:rPr>
          <w:rFonts w:ascii="Arial" w:hAnsi="Arial"/>
          <w:b w:val="0"/>
          <w:color w:val="000000"/>
        </w:rPr>
        <w:t xml:space="preserve"> response-2026-09-20.1</w:t>
      </w:r>
    </w:p>
    <w:p>
      <w:r>
        <w:rPr>
          <w:rFonts w:ascii="Arial" w:hAnsi="Arial"/>
          <w:b/>
          <w:color w:val="000000"/>
        </w:rPr>
        <w:t>Status:</w:t>
      </w:r>
      <w:r>
        <w:rPr>
          <w:rFonts w:ascii="Arial" w:hAnsi="Arial"/>
          <w:b w:val="0"/>
          <w:color w:val="000000"/>
        </w:rPr>
        <w:t xml:space="preserve"> Decisions recorded; remaining confirmations open; not activated.</w:t>
      </w:r>
    </w:p>
    <w:p>
      <w:r>
        <w:rPr>
          <w:rFonts w:ascii="Arial" w:hAnsi="Arial"/>
          <w:b w:val="0"/>
          <w:color w:val="000000"/>
        </w:rPr>
        <w:t>Thank you for the completed answers and the further explanations of 20 September. I have recorded the settled choices below and separated the new requirements from the details still needing a decision. Please answer F01 to F07 in your areas of responsibility. We do not need to reopen the choices already clear.</w:t>
      </w:r>
    </w:p>
    <w:p>
      <w:r>
        <w:rPr>
          <w:rFonts w:ascii="Arial" w:hAnsi="Arial"/>
          <w:b w:val="0"/>
          <w:color w:val="000000"/>
        </w:rPr>
        <w:t>This record updates the decision discussion; it does not amend the governing BRS or activate a policy. The effective policy version/date, required approvals and implementation evidence remain open. The 10 and 17 September records remain unchanged history. Issued terms and historical evidence remain protected.</w:t>
      </w:r>
    </w:p>
    <w:p>
      <w:pPr>
        <w:pStyle w:val="Heading1"/>
      </w:pPr>
      <w:r>
        <w:t>1 Source and decision history</w:t>
      </w:r>
    </w:p>
    <w:p>
      <w:r>
        <w:rPr>
          <w:rFonts w:ascii="Arial" w:hAnsi="Arial"/>
          <w:b w:val="0"/>
          <w:color w:val="000000"/>
        </w:rPr>
        <w:t>The sources are the 17 September consolidated question sheet, the seven-page Answers.docx.pdf supplied by Hussain as Robert and Kimani's answers, and Robert's complete messages dated 20 September 2026, 09:52:13 to 09:53:41. Message timezone was not supplied. Hussain confirmed that "Kamau" refers to Kimani; the record uses Kimani consistently.</w:t>
      </w:r>
    </w:p>
    <w:p>
      <w:r>
        <w:rPr>
          <w:rFonts w:ascii="Arial" w:hAnsi="Arial"/>
          <w:b w:val="0"/>
          <w:color w:val="000000"/>
        </w:rPr>
        <w:t>The PDF's footer is dated 17 September; it was supplied in this conversation on 19 September. The 20 September messages are attributed to Robert, not independently attributed to Kimani. Their explicit choices are recorded as decision evidence. Kimani's concurrence on the changed Finance/Risk/Compliance wording and the other required approvals are not inferred.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320"/>
      </w:tblGrid>
      <w:tr>
        <w:trPr>
          <w:cantSplit/>
          <w:tblHeader/>
        </w:trPr>
        <w:tc>
          <w:tcPr>
            <w:tcW w:type="dxa" w:w="1440"/>
            <w:vAlign w:val="center"/>
            <w:tcMar>
              <w:top w:w="95" w:type="dxa"/>
              <w:bottom w:w="95" w:type="dxa"/>
              <w:left w:w="105" w:type="dxa"/>
              <w:right w:w="105" w:type="dxa"/>
            </w:tcMar>
            <w:shd w:fill="E8EFF5"/>
          </w:tcPr>
          <w:p>
            <w:pPr>
              <w:keepNext/>
              <w:spacing w:after="0" w:line="250" w:lineRule="auto"/>
            </w:pPr>
            <w:r>
              <w:rPr>
                <w:rFonts w:ascii="Arial" w:hAnsi="Arial"/>
                <w:b/>
                <w:color w:val="000000"/>
                <w:sz w:val="20"/>
              </w:rPr>
              <w:t>Subject</w:t>
            </w:r>
          </w:p>
        </w:tc>
        <w:tc>
          <w:tcPr>
            <w:tcW w:type="dxa" w:w="4320"/>
            <w:vAlign w:val="center"/>
            <w:tcMar>
              <w:top w:w="95" w:type="dxa"/>
              <w:bottom w:w="95" w:type="dxa"/>
              <w:left w:w="105" w:type="dxa"/>
              <w:right w:w="105" w:type="dxa"/>
            </w:tcMar>
            <w:shd w:fill="E8EFF5"/>
          </w:tcPr>
          <w:p>
            <w:pPr>
              <w:keepNext/>
              <w:spacing w:after="0" w:line="250" w:lineRule="auto"/>
            </w:pPr>
            <w:r>
              <w:rPr>
                <w:rFonts w:ascii="Arial" w:hAnsi="Arial"/>
                <w:b/>
                <w:color w:val="000000"/>
                <w:sz w:val="20"/>
              </w:rPr>
              <w:t>Earlier answer</w:t>
            </w:r>
          </w:p>
        </w:tc>
        <w:tc>
          <w:tcPr>
            <w:tcW w:type="dxa" w:w="4320"/>
            <w:vAlign w:val="center"/>
            <w:tcMar>
              <w:top w:w="95" w:type="dxa"/>
              <w:bottom w:w="95" w:type="dxa"/>
              <w:left w:w="105" w:type="dxa"/>
              <w:right w:w="105" w:type="dxa"/>
            </w:tcMar>
            <w:shd w:fill="E8EFF5"/>
          </w:tcPr>
          <w:p>
            <w:pPr>
              <w:keepNext/>
              <w:spacing w:after="0" w:line="250" w:lineRule="auto"/>
            </w:pPr>
            <w:r>
              <w:rPr>
                <w:rFonts w:ascii="Arial" w:hAnsi="Arial"/>
                <w:b/>
                <w:color w:val="000000"/>
                <w:sz w:val="20"/>
              </w:rPr>
              <w:t>Latest recorded direction</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Financial history</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The source discussion referred to five years; the PDF selected three years with a 12-month exception.</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First-time applicants require 36 months. The 12-month track is repeat-borrower-only and requires full audits of any unmonitored gap.</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Secondary minimum</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PDF Q11 rejected RWF 1,000 and selected RWF 5,000.</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Robert reverses that choice to RWF 1,000, with an ambiguous "or 1 whole unit" qualification. RWF 5,000 is described as a primary anchor. F04 remains open.</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Reservations at listing expiry</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The original proposal ended a reservation at the earlier expiry.</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Each existing reservation keeps its full five minutes after normal listing expiry.</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Secondary execution</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The 10 September proposal excluded an order-book matching engine.</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Automatic execution against buyer bids and a demand indicator are newly requested. Their operating contract is not yet defined.</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Discount restriction</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Discounts were allowed below the remaining-payout ceiling.</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A new 30% maximum discount against unpaid principal is requested, but the supplied formula calls the boundary a maximum price. F02 must resolve this contradiction.</w:t>
            </w:r>
          </w:p>
        </w:tc>
      </w:tr>
    </w:tbl>
    <w:p>
      <w:pPr>
        <w:spacing w:after="0" w:line="120" w:lineRule="auto"/>
      </w:pPr>
    </w:p>
    <w:p>
      <w:pPr>
        <w:pStyle w:val="Heading1"/>
      </w:pPr>
      <w:r>
        <w:t>2 Recorded underwriting choices</w:t>
      </w:r>
    </w:p>
    <w:p>
      <w:r>
        <w:rPr>
          <w:rFonts w:ascii="Arial" w:hAnsi="Arial"/>
          <w:b w:val="0"/>
          <w:color w:val="000000"/>
        </w:rPr>
        <w:t>The IDs retain their original meaning. A recorded choice may still depend on the linked clarification; none is labelled activated.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320"/>
      </w:tblGrid>
      <w:tr>
        <w:trPr>
          <w:cantSplit/>
          <w:tblHeader/>
        </w:trPr>
        <w:tc>
          <w:tcPr>
            <w:tcW w:type="dxa" w:w="1440"/>
            <w:vAlign w:val="center"/>
            <w:tcMar>
              <w:top w:w="95" w:type="dxa"/>
              <w:bottom w:w="95" w:type="dxa"/>
              <w:left w:w="105" w:type="dxa"/>
              <w:right w:w="105" w:type="dxa"/>
            </w:tcMar>
            <w:shd w:fill="E8EFF5"/>
          </w:tcPr>
          <w:p>
            <w:pPr>
              <w:keepNext/>
              <w:spacing w:after="0" w:line="250" w:lineRule="auto"/>
              <w:jc w:val="center"/>
            </w:pPr>
            <w:r>
              <w:rPr>
                <w:rFonts w:ascii="Arial" w:hAnsi="Arial"/>
                <w:b/>
                <w:color w:val="000000"/>
                <w:sz w:val="20"/>
              </w:rPr>
              <w:t>Reference</w:t>
            </w:r>
          </w:p>
        </w:tc>
        <w:tc>
          <w:tcPr>
            <w:tcW w:type="dxa" w:w="4320"/>
            <w:vAlign w:val="center"/>
            <w:tcMar>
              <w:top w:w="95" w:type="dxa"/>
              <w:bottom w:w="95" w:type="dxa"/>
              <w:left w:w="105" w:type="dxa"/>
              <w:right w:w="105" w:type="dxa"/>
            </w:tcMar>
            <w:shd w:fill="E8EFF5"/>
          </w:tcPr>
          <w:p>
            <w:pPr>
              <w:keepNext/>
              <w:spacing w:after="0" w:line="250" w:lineRule="auto"/>
            </w:pPr>
            <w:r>
              <w:rPr>
                <w:rFonts w:ascii="Arial" w:hAnsi="Arial"/>
                <w:b/>
                <w:color w:val="000000"/>
                <w:sz w:val="20"/>
              </w:rPr>
              <w:t>Recorded choice</w:t>
            </w:r>
          </w:p>
        </w:tc>
        <w:tc>
          <w:tcPr>
            <w:tcW w:type="dxa" w:w="4320"/>
            <w:vAlign w:val="center"/>
            <w:tcMar>
              <w:top w:w="95" w:type="dxa"/>
              <w:bottom w:w="95" w:type="dxa"/>
              <w:left w:w="105" w:type="dxa"/>
              <w:right w:w="105" w:type="dxa"/>
            </w:tcMar>
            <w:shd w:fill="E8EFF5"/>
          </w:tcPr>
          <w:p>
            <w:pPr>
              <w:keepNext/>
              <w:spacing w:after="0" w:line="250" w:lineRule="auto"/>
            </w:pPr>
            <w:r>
              <w:rPr>
                <w:rFonts w:ascii="Arial" w:hAnsi="Arial"/>
                <w:b/>
                <w:color w:val="000000"/>
                <w:sz w:val="20"/>
              </w:rPr>
              <w:t>Remaining boundary</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jc w:val="center"/>
            </w:pPr>
            <w:r>
              <w:rPr>
                <w:rFonts w:ascii="Arial" w:hAnsi="Arial"/>
                <w:b w:val="0"/>
                <w:color w:val="000000"/>
                <w:sz w:val="20"/>
              </w:rPr>
              <w:t>Terms</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Permit 3, 4, 5 and 6 whole months.</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Four- and five-month pricing/schedule parameters and effective scope: F07. No new return rate is inferred.</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jc w:val="center"/>
            </w:pPr>
            <w:r>
              <w:rPr>
                <w:rFonts w:ascii="Arial" w:hAnsi="Arial"/>
                <w:b w:val="0"/>
                <w:color w:val="000000"/>
                <w:sz w:val="20"/>
              </w:rPr>
              <w:t>UW-R01</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Deduct owner drawings after operating cash flow using the greater of the verified-window monthly mean and evidenced recurring monthly commitment. Do not deduct an OPEX salary again; internal transfers are not draws.</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PDF Q02 excludes evidenced non-recurring distributions from the mean only with board/shareholder resolutions; verified same-period returns net against draws. Missing evidence stays unavailable. The calculation window remains in F01.</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jc w:val="center"/>
            </w:pPr>
            <w:r>
              <w:rPr>
                <w:rFonts w:ascii="Arial" w:hAnsi="Arial"/>
                <w:b w:val="0"/>
                <w:color w:val="000000"/>
                <w:sz w:val="20"/>
              </w:rPr>
              <w:t>UW-R02</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Standard debt service uses the greater of the historical monthly mean and largest contractual monthly obligation within the proposed tenor. Kimani owns CRB provider communication.</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Provider access, coverage, fallback, consent and collection capabilities remain external dependencies. A named owner is not a completed integration.</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jc w:val="center"/>
            </w:pPr>
            <w:r>
              <w:rPr>
                <w:rFonts w:ascii="Arial" w:hAnsi="Arial"/>
                <w:b w:val="0"/>
                <w:color w:val="000000"/>
                <w:sz w:val="20"/>
              </w:rPr>
              <w:t>UW-R03</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First-time borrowers need 36 months of audited financial records. The repeat track uses at least 12 consecutive audited bank/primary MoMo months, one fully settled Rozine loan with zero late payments, and audits of all unmonitored gaps.</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Carry forward PDF conditions: monthly DSCR at least 1.35, a 1.2-times historical median-revenue projection cap, and automated collections. Window, formula and evidence definitions require F01/F07; no calibrated model is claimed.</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jc w:val="center"/>
            </w:pPr>
            <w:r>
              <w:rPr>
                <w:rFonts w:ascii="Arial" w:hAnsi="Arial"/>
                <w:b w:val="0"/>
                <w:color w:val="000000"/>
                <w:sz w:val="20"/>
              </w:rPr>
              <w:t>UW-R04</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Standard sizing targets DSCR 1.50. Applications from 1.25 to below 1.50 may receive a reduced offer; strictly below 1.25 is rejected. Coverage is period inflow divided by period outflow plus debt service. Missing data displays as unavailable.</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Exact post-resizing threshold, which amount is tested first, and Coverage decision precision: F01. DSCR and Coverage are separate measures.</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jc w:val="center"/>
            </w:pPr>
            <w:r>
              <w:rPr>
                <w:rFonts w:ascii="Arial" w:hAnsi="Arial"/>
                <w:b w:val="0"/>
                <w:color w:val="000000"/>
                <w:sz w:val="20"/>
              </w:rPr>
              <w:t>UW-R05</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TTM revenue determines the 35% borrower-wide cap; the absolute cap is RWF 100M. Outstanding principal and accepted/primary-listed commitments consume room. Future unaccrued interest belongs in DSCR, not principal exposure. No annualization or forced increase to reach RWF 3M.</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Deduplicate internal/external balances and move commitments to funded exposure once, not twice. Reservation/release events and cash-flow capacity still need an executable specification under F07.</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jc w:val="center"/>
            </w:pPr>
            <w:r>
              <w:rPr>
                <w:rFonts w:ascii="Arial" w:hAnsi="Arial"/>
                <w:b w:val="0"/>
                <w:color w:val="000000"/>
                <w:sz w:val="20"/>
              </w:rPr>
              <w:t>UW-R06</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Unaccepted offers expire/recalculate; issued terms and purchased rating/return/schedule snapshots remain fixed. Accepted offers are conditional on closing checks. Material adverse credit/legal events or failed re-verification can cancel them; ordinary internal policy changes grandfather them unless a regulatory mandate requires otherwise.</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"Significant" cash-flow deterioration, verification, cancellation versus hold, and event/issuance order remain to specify under F07. The described legal treatment still needs the applicable legal review.</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jc w:val="center"/>
            </w:pPr>
            <w:r>
              <w:rPr>
                <w:rFonts w:ascii="Arial" w:hAnsi="Arial"/>
                <w:b w:val="0"/>
                <w:color w:val="000000"/>
                <w:sz w:val="20"/>
              </w:rPr>
              <w:t>UW-R07</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Missing reporting: seven calendar days, with the clock starting on the first day of the new month; block new originations/upsizes and send reminders. At 1–30 DPD, block issuance and initiate collections. At 31–89 DPD, require restructuring/recovery review and freeze marketplace listing rights.</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PDF cure/release routes carry forward: verified reporting or Risk Analyst clearance; arrears paid with Credit Risk Lead clearance; extended arrears paid or approved restructuring with Kimani/Robert dual sign-off. Exact time boundaries, scope and 90+ treatment: F05/F07.</w:t>
            </w:r>
          </w:p>
        </w:tc>
      </w:tr>
    </w:tbl>
    <w:p>
      <w:pPr>
        <w:spacing w:after="0" w:line="120" w:lineRule="auto"/>
      </w:pPr>
    </w:p>
    <w:p>
      <w:pPr>
        <w:pStyle w:val="Heading1"/>
      </w:pPr>
      <w:r>
        <w:t>3 Recorded secondary trading choices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320"/>
      </w:tblGrid>
      <w:tr>
        <w:trPr>
          <w:cantSplit/>
          <w:tblHeader/>
        </w:trPr>
        <w:tc>
          <w:tcPr>
            <w:tcW w:type="dxa" w:w="1440"/>
            <w:vAlign w:val="center"/>
            <w:tcMar>
              <w:top w:w="95" w:type="dxa"/>
              <w:bottom w:w="95" w:type="dxa"/>
              <w:left w:w="105" w:type="dxa"/>
              <w:right w:w="105" w:type="dxa"/>
            </w:tcMar>
            <w:shd w:fill="E8EFF5"/>
          </w:tcPr>
          <w:p>
            <w:pPr>
              <w:keepNext/>
              <w:spacing w:after="0" w:line="250" w:lineRule="auto"/>
              <w:jc w:val="center"/>
            </w:pPr>
            <w:r>
              <w:rPr>
                <w:rFonts w:ascii="Arial" w:hAnsi="Arial"/>
                <w:b/>
                <w:color w:val="000000"/>
                <w:sz w:val="20"/>
              </w:rPr>
              <w:t>Reference</w:t>
            </w:r>
          </w:p>
        </w:tc>
        <w:tc>
          <w:tcPr>
            <w:tcW w:type="dxa" w:w="4320"/>
            <w:vAlign w:val="center"/>
            <w:tcMar>
              <w:top w:w="95" w:type="dxa"/>
              <w:bottom w:w="95" w:type="dxa"/>
              <w:left w:w="105" w:type="dxa"/>
              <w:right w:w="105" w:type="dxa"/>
            </w:tcMar>
            <w:shd w:fill="E8EFF5"/>
          </w:tcPr>
          <w:p>
            <w:pPr>
              <w:keepNext/>
              <w:spacing w:after="0" w:line="250" w:lineRule="auto"/>
            </w:pPr>
            <w:r>
              <w:rPr>
                <w:rFonts w:ascii="Arial" w:hAnsi="Arial"/>
                <w:b/>
                <w:color w:val="000000"/>
                <w:sz w:val="20"/>
              </w:rPr>
              <w:t>Recorded choice</w:t>
            </w:r>
          </w:p>
        </w:tc>
        <w:tc>
          <w:tcPr>
            <w:tcW w:type="dxa" w:w="4320"/>
            <w:vAlign w:val="center"/>
            <w:tcMar>
              <w:top w:w="95" w:type="dxa"/>
              <w:bottom w:w="95" w:type="dxa"/>
              <w:left w:w="105" w:type="dxa"/>
              <w:right w:w="105" w:type="dxa"/>
            </w:tcMar>
            <w:shd w:fill="E8EFF5"/>
          </w:tcPr>
          <w:p>
            <w:pPr>
              <w:keepNext/>
              <w:spacing w:after="0" w:line="250" w:lineRule="auto"/>
            </w:pPr>
            <w:r>
              <w:rPr>
                <w:rFonts w:ascii="Arial" w:hAnsi="Arial"/>
                <w:b/>
                <w:color w:val="000000"/>
                <w:sz w:val="20"/>
              </w:rPr>
              <w:t>Remaining boundary</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jc w:val="center"/>
            </w:pPr>
            <w:r>
              <w:rPr>
                <w:rFonts w:ascii="Arial" w:hAnsi="Arial"/>
                <w:b w:val="0"/>
                <w:color w:val="000000"/>
                <w:sz w:val="20"/>
              </w:rPr>
              <w:t>SEC-R01</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Partial sales in whole units; concurrent reservations may cover different, non-overlapping quantities. No forced purchase of the whole lot or minimum leftover quantity. Automatic bid matching is newly requested.</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Matching/funding/priority contract: F03. Whole units do not remove monetary-rounding requirements.</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jc w:val="center"/>
            </w:pPr>
            <w:r>
              <w:rPr>
                <w:rFonts w:ascii="Arial" w:hAnsi="Arial"/>
                <w:b w:val="0"/>
                <w:color w:val="000000"/>
                <w:sz w:val="20"/>
              </w:rPr>
              <w:t>SEC-R02</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Seven-day listing life. Unsold units remain listed until expiry, then return to the seller's portfolio with their contractual repayment entitlements.</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Existing reservations survive normal expiry. Exact server clock/no silent extension and non-executable small remainders: F04/F07. Repayments and liquidity are not guaranteed.</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jc w:val="center"/>
            </w:pPr>
            <w:r>
              <w:rPr>
                <w:rFonts w:ascii="Arial" w:hAnsi="Arial"/>
                <w:b w:val="0"/>
                <w:color w:val="000000"/>
                <w:sz w:val="20"/>
              </w:rPr>
              <w:t>SEC-R03</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Five-minute funded-wallet reservation; already reserved units stay locked through normal listing expiry until settlement or their own timeout.</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Reconcile immediate bid execution with checkout reservations and fee-inclusive funding: F03. Do not infer permission to wait for an external bank/MoMo deposit during a trade.</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jc w:val="center"/>
            </w:pPr>
            <w:r>
              <w:rPr>
                <w:rFonts w:ascii="Arial" w:hAnsi="Arial"/>
                <w:b w:val="0"/>
                <w:color w:val="000000"/>
                <w:sz w:val="20"/>
              </w:rPr>
              <w:t>SEC-R04</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The sale-price ceiling uses remaining gross contractual payouts for the units transferred, excluding the buyer's 0.5% fee. A 30% maximum discount against current unpaid principal is newly requested, not compounded from prior sale prices.</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Source formula contradicts the discount intent. Confirm the floor, ceiling, rounding and entitlement allocation in F02.</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jc w:val="center"/>
            </w:pPr>
            <w:r>
              <w:rPr>
                <w:rFonts w:ascii="Arial" w:hAnsi="Arial"/>
                <w:b w:val="0"/>
                <w:color w:val="000000"/>
                <w:sz w:val="20"/>
              </w:rPr>
              <w:t>SEC-R05</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Fees are 0.5% taker and 0.2% maker on settled gross consideration, half-up to whole RWF per partial fill, with no minimum fee. They replace the legacy 3% fee, not stack on it.</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Standing buyer bids change who may be maker/taker. Roles, fragmentation and activation scope: F03/F07.</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jc w:val="center"/>
            </w:pPr>
            <w:r>
              <w:rPr>
                <w:rFonts w:ascii="Arial" w:hAnsi="Arial"/>
                <w:b w:val="0"/>
                <w:color w:val="000000"/>
                <w:sz w:val="20"/>
              </w:rPr>
              <w:t>SEC-R06</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Latest secondary-floor direction is RWF 1,000, described as "or 1 whole unit". Primary RWF 5,000 is called an anchor. No four-month maturity cutoff.</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Both minimum conditions versus an exception, primary minimum, and below-floor residual execution: F04.</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jc w:val="center"/>
            </w:pPr>
            <w:r>
              <w:rPr>
                <w:rFonts w:ascii="Arial" w:hAnsi="Arial"/>
                <w:b w:val="0"/>
                <w:color w:val="000000"/>
                <w:sz w:val="20"/>
              </w:rPr>
              <w:t>SEC-R07</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Keep the 00:00 Africa/Kigali holder-of-record cutoff, including Sundays and holidays.</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Contractual due-date/holiday adjustments are a separate rule. Matching, reservations and cutoff races need technical proof.</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jc w:val="center"/>
            </w:pPr>
            <w:r>
              <w:rPr>
                <w:rFonts w:ascii="Arial" w:hAnsi="Arial"/>
                <w:b w:val="0"/>
                <w:color w:val="000000"/>
                <w:sz w:val="20"/>
              </w:rPr>
              <w:t>SEC-R08</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Prior halt/eligibility-loss rule remains recorded: suspend affected orders, release reservations, and require explicit relisting after clearance. A 31–89 DPD note-level trading freeze is newly explicit.</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Reconcile with current-only eligibility, all Arrears/Default/Disputed exclusions and expiry priority in F05. No permission to trade distressed notes is inferred.</w:t>
            </w:r>
          </w:p>
        </w:tc>
      </w:tr>
      <w:tr>
        <w:trPr>
          <w:cantSplit/>
        </w:trPr>
        <w:tc>
          <w:tcPr>
            <w:tcW w:type="dxa" w:w="1440"/>
            <w:vAlign w:val="center"/>
            <w:tcMar>
              <w:top w:w="95" w:type="dxa"/>
              <w:bottom w:w="95" w:type="dxa"/>
              <w:left w:w="105" w:type="dxa"/>
              <w:right w:w="105" w:type="dxa"/>
            </w:tcMar>
            <w:shd w:fill="FFFFFF"/>
          </w:tcPr>
          <w:p>
            <w:pPr>
              <w:keepNext w:val="0"/>
              <w:spacing w:after="0" w:line="250" w:lineRule="auto"/>
              <w:jc w:val="center"/>
            </w:pPr>
            <w:r>
              <w:rPr>
                <w:rFonts w:ascii="Arial" w:hAnsi="Arial"/>
                <w:b w:val="0"/>
                <w:color w:val="000000"/>
                <w:sz w:val="20"/>
              </w:rPr>
              <w:t>SEC-R09</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Sellers may cancel an unreserved remainder while reserved quantities remain locked. Settled trades cannot be erased. An authorized admin cancellation requires a recorded reason.</w:t>
            </w:r>
          </w:p>
        </w:tc>
        <w:tc>
          <w:tcPr>
            <w:tcW w:type="dxa" w:w="4320"/>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Atomic cancel/match/reserve/expiry handling and bid cancellation: F03/F07.</w:t>
            </w:r>
          </w:p>
        </w:tc>
      </w:tr>
      <w:tr>
        <w:trPr>
          <w:cantSplit/>
        </w:trPr>
        <w:tc>
          <w:tcPr>
            <w:tcW w:type="dxa" w:w="1440"/>
            <w:vAlign w:val="center"/>
            <w:tcMar>
              <w:top w:w="95" w:type="dxa"/>
              <w:bottom w:w="95" w:type="dxa"/>
              <w:left w:w="105" w:type="dxa"/>
              <w:right w:w="105" w:type="dxa"/>
            </w:tcMar>
            <w:shd w:fill="F7F9FB"/>
          </w:tcPr>
          <w:p>
            <w:pPr>
              <w:keepNext w:val="0"/>
              <w:spacing w:after="0" w:line="250" w:lineRule="auto"/>
              <w:jc w:val="center"/>
            </w:pPr>
            <w:r>
              <w:rPr>
                <w:rFonts w:ascii="Arial" w:hAnsi="Arial"/>
                <w:b w:val="0"/>
                <w:color w:val="000000"/>
                <w:sz w:val="20"/>
              </w:rPr>
              <w:t>SEC-R10</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Six conduct categories are accepted. Self/same-beneficial-owner trading and double-selling are hard denials. Uncalibrated frequency/cancellation/discount/reciprocal-trading thresholds remain review-only. Specified high-risk flags can trigger a temporary account hold.</w:t>
            </w:r>
          </w:p>
        </w:tc>
        <w:tc>
          <w:tcPr>
            <w:tcW w:type="dxa" w:w="4320"/>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High-risk trigger definitions, 24-hour confirmation, five-business-day limits, notices and release authority: F06. The demand feed must not turn unbacked bids into apparent genuine liquidity.</w:t>
            </w:r>
          </w:p>
        </w:tc>
      </w:tr>
    </w:tbl>
    <w:p>
      <w:pPr>
        <w:spacing w:after="0" w:line="120" w:lineRule="auto"/>
      </w:pPr>
    </w:p>
    <w:p>
      <w:r>
        <w:rPr>
          <w:rFonts w:ascii="Arial" w:hAnsi="Arial"/>
          <w:b w:val="0"/>
          <w:color w:val="000000"/>
        </w:rPr>
        <w:t>The six conduct categories remain: fabricated activity through wash/self/collusive trading; deceptive orders or reservations; material falsehoods or concealment; misuse of confidential information or privileged access; identity/account fraud or evasion of ownership/reservation controls; and illicit-funds activity. These are the recorded policy categories, not a legal-compliance certification.</w:t>
      </w:r>
    </w:p>
    <w:p>
      <w:r>
        <w:rPr>
          <w:rFonts w:ascii="Arial" w:hAnsi="Arial"/>
          <w:b w:val="0"/>
          <w:color w:val="000000"/>
        </w:rPr>
        <w:t>Robert also requests the label "Seller Liquidity Discount" on discounted listings. Preserve current rating, health, reports, arrears and remaining-schedule disclosures. The label must not assert an unverified seller motive or conceal credit risk; confirm the disclosure treatment in F03.</w:t>
      </w:r>
    </w:p>
    <w:p>
      <w:pPr>
        <w:pStyle w:val="Heading1"/>
      </w:pPr>
      <w:r>
        <w:t>4 Remaining confirmations</w:t>
      </w:r>
    </w:p>
    <w:p>
      <w:bookmarkStart w:id="01" w:name="F01"/>
      <w:pPr>
        <w:pStyle w:val="Heading2"/>
      </w:pPr>
      <w:r>
        <w:t>F01 Exact underwriting calculations</w:t>
      </w:r>
      <w:bookmarkEnd w:id="01"/>
    </w:p>
    <w:p>
      <w:r>
        <w:rPr>
          <w:rFonts w:ascii="Arial" w:hAnsi="Arial"/>
          <w:b/>
          <w:color w:val="000000"/>
        </w:rPr>
        <w:t>Kimani and Robert:</w:t>
      </w:r>
      <w:r>
        <w:rPr>
          <w:rFonts w:ascii="Arial" w:hAnsi="Arial"/>
          <w:b w:val="0"/>
          <w:color w:val="000000"/>
        </w:rPr>
        <w:t xml:space="preserve"> Must a resized standard offer reach DSCR at least 1.50, or may it finish between 1.25 and 1.50? Identify the requested or reference loan amount used for the initial 1.25 rejection check. Retain the separate 1.35 monthly requirement for the repeat track unless explicitly amended. A value below a threshold must not pass merely because a display rounds it up.</w:t>
      </w:r>
    </w:p>
    <w:p>
      <w:pPr>
        <w:keepNext/>
      </w:pPr>
      <w:r>
        <w:rPr>
          <w:rFonts w:ascii="Arial" w:hAnsi="Arial"/>
          <w:b w:val="0"/>
          <w:color w:val="000000"/>
        </w:rPr>
        <w:t>Please specify the standard/repeat calculation windows, retained history, seasonality method, and exact meaning of the 1.2-times median-revenue projection cap. Thirty-six months of annual financial statements is not automatically 36 monthly cash-flow observations; confirm evidence granularity, all required bank/MoMo rails, gap/staleness treatment and the migration from D-14's 24-month retention ceiling. Confirm Coverage uses exact underlying amounts for decisions, a non-authoritative rounded display, and unavailable status for invalid denominators. These are remaining details, not a reopening of the 36-month first-time and 12-month repeat-track choice.</w:t>
      </w:r>
    </w:p>
    <w:p>
      <w:pPr>
        <w:spacing w:after="240"/>
      </w:pPr>
      <w:r>
        <w:rPr>
          <w:rFonts w:ascii="Arial" w:hAnsi="Arial"/>
          <w:b/>
          <w:color w:val="000000"/>
        </w:rPr>
        <w:t>Response:</w:t>
      </w:r>
      <w:r>
        <w:rPr>
          <w:rFonts w:ascii="Arial" w:hAnsi="Arial"/>
          <w:b w:val="0"/>
          <w:color w:val="000000"/>
        </w:rPr>
        <w:t xml:space="preserve"> Pending confirmation.</w:t>
      </w:r>
    </w:p>
    <w:p>
      <w:bookmarkStart w:id="02" w:name="F02"/>
      <w:pPr>
        <w:pStyle w:val="Heading2"/>
      </w:pPr>
      <w:r>
        <w:t>F02 Discount floor and payout ceiling</w:t>
      </w:r>
      <w:bookmarkEnd w:id="02"/>
    </w:p>
    <w:p>
      <w:r>
        <w:rPr>
          <w:rFonts w:ascii="Arial" w:hAnsi="Arial"/>
          <w:b/>
          <w:color w:val="000000"/>
        </w:rPr>
        <w:t>Robert and Kimani:</w:t>
      </w:r>
      <w:r>
        <w:rPr>
          <w:rFonts w:ascii="Arial" w:hAnsi="Arial"/>
          <w:b w:val="0"/>
          <w:color w:val="000000"/>
        </w:rPr>
        <w:t xml:space="preserve"> The source says "Maximum Allowed Secondary Listing Price = Remaining Unpaid Principal x 0.70" while also prohibiting discounts beyond 30%. Please confirm that the intended correction is a </w:t>
      </w:r>
      <w:r>
        <w:rPr>
          <w:rFonts w:ascii="Arial" w:hAnsi="Arial"/>
          <w:b/>
          <w:color w:val="000000"/>
        </w:rPr>
        <w:t>minimum</w:t>
      </w:r>
      <w:r>
        <w:rPr>
          <w:rFonts w:ascii="Arial" w:hAnsi="Arial"/>
          <w:b w:val="0"/>
          <w:color w:val="000000"/>
        </w:rPr>
        <w:t xml:space="preserve"> sale price of 70% of unpaid principal allocated to the exact units sold. Confirm that the earlier remaining-gross-payout ceiling also remains in force, with the buyer fee outside that ceiling. Until confirmed, the conflicting maximum formula is not silently corrected or implemented.</w:t>
      </w:r>
    </w:p>
    <w:p>
      <w:pPr>
        <w:keepNext/>
      </w:pPr>
      <w:r>
        <w:rPr>
          <w:rFonts w:ascii="Arial" w:hAnsi="Arial"/>
          <w:b w:val="0"/>
          <w:color w:val="000000"/>
        </w:rPr>
        <w:t>Illustration only: if transferred units have RWF 10,000 unpaid principal and RWF 10,800 remaining transferable gross payouts, the proposed corrected price band is RWF 7,000 to RWF 10,800. The source's maximum-price formula would instead prohibit prices above RWF 7,000. Choose the whole-RWF rounding and per-unit/per-trade basis, exclude paid or seller-vested entitlements, and specify what happens when no valid price satisfies every boundary. Required review of the pricing restriction under BR-75 and external requirements remains separate.</w:t>
      </w:r>
    </w:p>
    <w:p>
      <w:pPr>
        <w:spacing w:after="240"/>
      </w:pPr>
      <w:r>
        <w:rPr>
          <w:rFonts w:ascii="Arial" w:hAnsi="Arial"/>
          <w:b/>
          <w:color w:val="000000"/>
        </w:rPr>
        <w:t>Response:</w:t>
      </w:r>
      <w:r>
        <w:rPr>
          <w:rFonts w:ascii="Arial" w:hAnsi="Arial"/>
          <w:b w:val="0"/>
          <w:color w:val="000000"/>
        </w:rPr>
        <w:t xml:space="preserve"> Pending confirmation.</w:t>
      </w:r>
    </w:p>
    <w:p>
      <w:bookmarkStart w:id="03" w:name="F03"/>
      <w:pPr>
        <w:pStyle w:val="Heading2"/>
      </w:pPr>
      <w:r>
        <w:t>F03 Automatic matching and the demand indicator</w:t>
      </w:r>
      <w:bookmarkEnd w:id="03"/>
    </w:p>
    <w:p>
      <w:r>
        <w:rPr>
          <w:rFonts w:ascii="Arial" w:hAnsi="Arial"/>
          <w:b/>
          <w:color w:val="000000"/>
        </w:rPr>
        <w:t>Robert and Kimani, with Aminu and Erastus:</w:t>
      </w:r>
      <w:r>
        <w:rPr>
          <w:rFonts w:ascii="Arial" w:hAnsi="Arial"/>
          <w:b w:val="0"/>
          <w:color w:val="000000"/>
        </w:rPr>
        <w:t xml:space="preserve"> Automatic bid matching is a new requested capability. Define whether orders are executable funded bids or non-binding indications; execution at the seller ask or another price; price/time priority; eligible unit selection and partial fills; bid lifetime/cancellation; and the relationship between instant execution and a five-minute reservation. Confirm how a standing buyer bid changes maker/taker roles and whether a taker's limit is gross price or fee-inclusive spending.</w:t>
      </w:r>
    </w:p>
    <w:p>
      <w:pPr>
        <w:keepNext/>
      </w:pPr>
      <w:r>
        <w:rPr>
          <w:rFonts w:ascii="Arial" w:hAnsi="Arial"/>
          <w:b w:val="0"/>
          <w:color w:val="000000"/>
        </w:rPr>
        <w:t>For the demand indicator, define which bids count, removal of expired/cancelled/unfunded bids, aggregation and disclosure of price/quantity/age, self/related-party exclusions, and anti-manipulation controls. It must not imply guaranteed liquidity or expose individual buyers unnecessarily. Confirm the "Seller Liquidity Discount" label without suppressing note risk or presenting an unverified motive as fact. Engineering must assess the revised contract, concurrency evidence and schedule before schema freeze; this record does not create a matching engine or authorize deployment.</w:t>
      </w:r>
    </w:p>
    <w:p>
      <w:pPr>
        <w:spacing w:after="240"/>
      </w:pPr>
      <w:r>
        <w:rPr>
          <w:rFonts w:ascii="Arial" w:hAnsi="Arial"/>
          <w:b/>
          <w:color w:val="000000"/>
        </w:rPr>
        <w:t>Response:</w:t>
      </w:r>
      <w:r>
        <w:rPr>
          <w:rFonts w:ascii="Arial" w:hAnsi="Arial"/>
          <w:b w:val="0"/>
          <w:color w:val="000000"/>
        </w:rPr>
        <w:t xml:space="preserve"> Pending confirmation.</w:t>
      </w:r>
    </w:p>
    <w:p>
      <w:bookmarkStart w:id="04" w:name="F04"/>
      <w:pPr>
        <w:pStyle w:val="Heading2"/>
      </w:pPr>
      <w:r>
        <w:t>F04 Primary minimum and secondary residual execution</w:t>
      </w:r>
      <w:bookmarkEnd w:id="04"/>
    </w:p>
    <w:p>
      <w:r>
        <w:rPr>
          <w:rFonts w:ascii="Arial" w:hAnsi="Arial"/>
          <w:b/>
          <w:color w:val="000000"/>
        </w:rPr>
        <w:t>Robert and Kimani:</w:t>
      </w:r>
      <w:r>
        <w:rPr>
          <w:rFonts w:ascii="Arial" w:hAnsi="Arial"/>
          <w:b w:val="0"/>
          <w:color w:val="000000"/>
        </w:rPr>
        <w:t xml:space="preserve"> Does every secondary trade require both whole units and at least RWF 1,000 gross consideration, or does "or 1 whole unit" authorize a sub-RWF 1,000 exception? Is RWF 5,000 a mandatory primary subscription minimum/unit denomination, a marketing anchor, or both?</w:t>
      </w:r>
    </w:p>
    <w:p>
      <w:pPr>
        <w:keepNext/>
      </w:pPr>
      <w:r>
        <w:rPr>
          <w:rFonts w:ascii="Arial" w:hAnsi="Arial"/>
          <w:b w:val="0"/>
          <w:color w:val="000000"/>
        </w:rPr>
        <w:t>No forced residual buyout and portfolio return at expiry are recorded. If a remainder cannot meet the chosen trade minimum and price band, should it be shown as non-executable until it can be combined with eligible same-Note units, or does an explicit exception apply? Do not force another buyer to take it or raise its price beyond the payout ceiling. The order-size floor alone cannot prevent small holdings or remaining payouts. Units returned from a secondary listing remain the seller's holdings; confirm that the phrase "or primary campaign" does not move issued holdings back into fundraising inventory.</w:t>
      </w:r>
    </w:p>
    <w:p>
      <w:pPr>
        <w:spacing w:after="240"/>
      </w:pPr>
      <w:r>
        <w:rPr>
          <w:rFonts w:ascii="Arial" w:hAnsi="Arial"/>
          <w:b/>
          <w:color w:val="000000"/>
        </w:rPr>
        <w:t>Response:</w:t>
      </w:r>
      <w:r>
        <w:rPr>
          <w:rFonts w:ascii="Arial" w:hAnsi="Arial"/>
          <w:b w:val="0"/>
          <w:color w:val="000000"/>
        </w:rPr>
        <w:t xml:space="preserve"> Pending confirmation.</w:t>
      </w:r>
    </w:p>
    <w:p>
      <w:bookmarkStart w:id="05" w:name="F05"/>
      <w:pPr>
        <w:pStyle w:val="Heading2"/>
      </w:pPr>
      <w:r>
        <w:t>F05 Note eligibility and delinquency</w:t>
      </w:r>
      <w:bookmarkEnd w:id="05"/>
    </w:p>
    <w:p>
      <w:r>
        <w:rPr>
          <w:rFonts w:ascii="Arial" w:hAnsi="Arial"/>
          <w:b/>
          <w:color w:val="000000"/>
        </w:rPr>
        <w:t>Kimani and Robert:</w:t>
      </w:r>
      <w:r>
        <w:rPr>
          <w:rFonts w:ascii="Arial" w:hAnsi="Arial"/>
          <w:b w:val="0"/>
          <w:color w:val="000000"/>
        </w:rPr>
        <w:t xml:space="preserve"> Confirm the complete state matrix, including 1–30 DPD, 31–89 DPD, 90+ DPD, Default, Disputed, fully paid and global/note-level halts. BR-70/71 currently require Repaying/current holdings and prohibit Arrears, Default and Disputed trading. The new 31–89 DPD freeze does not by itself authorize any other delinquent range. Identify any deliberate amendment explicitly, including the relationship to grace periods and the existing default backstop.</w:t>
      </w:r>
    </w:p>
    <w:p>
      <w:pPr>
        <w:keepNext/>
      </w:pPr>
      <w:r>
        <w:rPr>
          <w:rFonts w:ascii="Arial" w:hAnsi="Arial"/>
          <w:b w:val="0"/>
          <w:color w:val="000000"/>
        </w:rPr>
        <w:t>Specify what happens to outstanding bids and reservations when eligibility is lost, and who may release/relist after cure. Proposed engineering boundary for confirmation: the five-minute priority applies to normal listing expiry only, never to a halt or eligibility failure that must block settlement. Distinguish note-level trading freezes from account-level compliance holds and borrower origination restrictions.</w:t>
      </w:r>
    </w:p>
    <w:p>
      <w:pPr>
        <w:spacing w:after="240"/>
      </w:pPr>
      <w:r>
        <w:rPr>
          <w:rFonts w:ascii="Arial" w:hAnsi="Arial"/>
          <w:b/>
          <w:color w:val="000000"/>
        </w:rPr>
        <w:t>Response:</w:t>
      </w:r>
      <w:r>
        <w:rPr>
          <w:rFonts w:ascii="Arial" w:hAnsi="Arial"/>
          <w:b w:val="0"/>
          <w:color w:val="000000"/>
        </w:rPr>
        <w:t xml:space="preserve"> Pending confirmation.</w:t>
      </w:r>
    </w:p>
    <w:p>
      <w:bookmarkStart w:id="06" w:name="F06"/>
      <w:pPr>
        <w:pStyle w:val="Heading2"/>
      </w:pPr>
      <w:r>
        <w:t>F06 Account holds and human review</w:t>
      </w:r>
      <w:bookmarkEnd w:id="06"/>
    </w:p>
    <w:p>
      <w:r>
        <w:rPr>
          <w:rFonts w:ascii="Arial" w:hAnsi="Arial"/>
          <w:b/>
          <w:color w:val="000000"/>
        </w:rPr>
        <w:t>Kimani and Robert:</w:t>
      </w:r>
      <w:r>
        <w:rPr>
          <w:rFonts w:ascii="Arial" w:hAnsi="Arial"/>
          <w:b w:val="0"/>
          <w:color w:val="000000"/>
        </w:rPr>
        <w:t xml:space="preserve"> Record the approved high-risk triggers for an immediate hold; ordinary uncalibrated activity flags remain review-only. Confirm whether an unconfirmed hold automatically expires at 24 hours. Define when the five-business-day clock begins, its calendar/timezone, whether human confirmation preserves that original clock, and safeguards against repeated resets.</w:t>
      </w:r>
    </w:p>
    <w:p>
      <w:pPr>
        <w:keepNext/>
      </w:pPr>
      <w:r>
        <w:rPr>
          <w:rFonts w:ascii="Arial" w:hAnsi="Arial"/>
          <w:b w:val="0"/>
          <w:color w:val="000000"/>
        </w:rPr>
        <w:t>Robert requests evidence logs, Compliance Officer or Legal Counsel sign-off, written notice within 24 hours, and restoration after five business days without a substantiated finding. Reconcile this with the PDF's earlier dual-sign-off release rule, specific-ground notice and five-business-day counter-evidence window. Define permitted scope, review/appeal handling and the authority for a substantiated finding or legally required continued restriction. Applicable notice, reporting and legal exceptions require qualified review; automated rules must not invent them. Calibration alone is not authorization for automatic sanctions.</w:t>
      </w:r>
    </w:p>
    <w:p>
      <w:pPr>
        <w:spacing w:after="240"/>
      </w:pPr>
      <w:r>
        <w:rPr>
          <w:rFonts w:ascii="Arial" w:hAnsi="Arial"/>
          <w:b/>
          <w:color w:val="000000"/>
        </w:rPr>
        <w:t>Response:</w:t>
      </w:r>
      <w:r>
        <w:rPr>
          <w:rFonts w:ascii="Arial" w:hAnsi="Arial"/>
          <w:b w:val="0"/>
          <w:color w:val="000000"/>
        </w:rPr>
        <w:t xml:space="preserve"> Pending confirmation.</w:t>
      </w:r>
    </w:p>
    <w:p>
      <w:bookmarkStart w:id="07" w:name="F07"/>
      <w:pPr>
        <w:pStyle w:val="Heading2"/>
      </w:pPr>
      <w:r>
        <w:t>F07 Effective scope and remaining implementation detail</w:t>
      </w:r>
      <w:bookmarkEnd w:id="07"/>
    </w:p>
    <w:p>
      <w:r>
        <w:rPr>
          <w:rFonts w:ascii="Arial" w:hAnsi="Arial"/>
          <w:b/>
          <w:color w:val="000000"/>
        </w:rPr>
        <w:t>Robert and Kimani:</w:t>
      </w:r>
      <w:r>
        <w:rPr>
          <w:rFonts w:ascii="Arial" w:hAnsi="Arial"/>
          <w:b w:val="0"/>
          <w:color w:val="000000"/>
        </w:rPr>
        <w:t xml:space="preserve"> State the effective policy version/date, approvals and treatment of pending applications, unaccepted/accepted offers, primary campaigns, bids, listings and reservations. Preserve issued schedules and issue snapshots. Confirm 4/5-month pricing and that unrelated fee/return rules are unchanged unless explicitly amended.</w:t>
      </w:r>
    </w:p>
    <w:p>
      <w:r>
        <w:rPr>
          <w:rFonts w:ascii="Arial" w:hAnsi="Arial"/>
          <w:b w:val="0"/>
          <w:color w:val="000000"/>
        </w:rPr>
        <w:t>Resolve exact material-adverse-event thresholds and closing-check order; reporting deadline timestamps, verification/cure and release roles; exposure reservation, cancellation, expiry and funded-transfer events; and seven-day expiry clock/no silent extension. Kimani's provider ownership is confirmed, but lawful CRB access, completeness/fallback, automated bank/MoMo collection arrangements and the meaning of audited evidence still need actual provider/operational evidence.</w:t>
      </w:r>
    </w:p>
    <w:p>
      <w:pPr>
        <w:keepNext/>
      </w:pPr>
      <w:r>
        <w:rPr>
          <w:rFonts w:ascii="Arial" w:hAnsi="Arial"/>
          <w:b w:val="0"/>
          <w:color w:val="000000"/>
        </w:rPr>
        <w:t>Please confirm the revised Finance/Risk/Compliance wording as Kimani and Product/Business/internal Legal wording as Robert. Aminu and Erastus will separately review engineering feasibility and evidence. Independent and required external approvals remain separate; this record does not certify regulatory compliance, provider access or Phase 0 completion.</w:t>
      </w:r>
    </w:p>
    <w:p>
      <w:pPr>
        <w:spacing w:after="240"/>
      </w:pPr>
      <w:r>
        <w:rPr>
          <w:rFonts w:ascii="Arial" w:hAnsi="Arial"/>
          <w:b/>
          <w:color w:val="000000"/>
        </w:rPr>
        <w:t>Response:</w:t>
      </w:r>
      <w:r>
        <w:rPr>
          <w:rFonts w:ascii="Arial" w:hAnsi="Arial"/>
          <w:b w:val="0"/>
          <w:color w:val="000000"/>
        </w:rPr>
        <w:t xml:space="preserve"> Pending confirmation.</w:t>
      </w:r>
    </w:p>
    <w:p>
      <w:pPr>
        <w:pStyle w:val="Heading1"/>
      </w:pPr>
      <w:r>
        <w:t>5 Engineering review after confirmation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cantSplit/>
          <w:tblHeader/>
        </w:trPr>
        <w:tc>
          <w:tcPr>
            <w:tcW w:type="dxa" w:w="1584"/>
            <w:vAlign w:val="center"/>
            <w:tcMar>
              <w:top w:w="95" w:type="dxa"/>
              <w:bottom w:w="95" w:type="dxa"/>
              <w:left w:w="105" w:type="dxa"/>
              <w:right w:w="105" w:type="dxa"/>
            </w:tcMar>
            <w:shd w:fill="E8EFF5"/>
          </w:tcPr>
          <w:p>
            <w:pPr>
              <w:keepNext/>
              <w:spacing w:after="0" w:line="250" w:lineRule="auto"/>
            </w:pPr>
            <w:r>
              <w:rPr>
                <w:rFonts w:ascii="Arial" w:hAnsi="Arial"/>
                <w:b/>
                <w:color w:val="000000"/>
                <w:sz w:val="20"/>
              </w:rPr>
              <w:t>Area</w:t>
            </w:r>
          </w:p>
        </w:tc>
        <w:tc>
          <w:tcPr>
            <w:tcW w:type="dxa" w:w="8496"/>
            <w:vAlign w:val="center"/>
            <w:tcMar>
              <w:top w:w="95" w:type="dxa"/>
              <w:bottom w:w="95" w:type="dxa"/>
              <w:left w:w="105" w:type="dxa"/>
              <w:right w:w="105" w:type="dxa"/>
            </w:tcMar>
            <w:shd w:fill="E8EFF5"/>
          </w:tcPr>
          <w:p>
            <w:pPr>
              <w:keepNext/>
              <w:spacing w:after="0" w:line="250" w:lineRule="auto"/>
            </w:pPr>
            <w:r>
              <w:rPr>
                <w:rFonts w:ascii="Arial" w:hAnsi="Arial"/>
                <w:b/>
                <w:color w:val="000000"/>
                <w:sz w:val="20"/>
              </w:rPr>
              <w:t>Required follow-through before acceptance</w:t>
            </w:r>
          </w:p>
        </w:tc>
      </w:tr>
      <w:tr>
        <w:trPr>
          <w:cantSplit/>
        </w:trPr>
        <w:tc>
          <w:tcPr>
            <w:tcW w:type="dxa" w:w="1584"/>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Underwriting</w:t>
            </w:r>
          </w:p>
        </w:tc>
        <w:tc>
          <w:tcPr>
            <w:tcW w:type="dxa" w:w="8496"/>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Version the formulas and evidence contracts. Test 3/4/5/6-month terms, 1.25/1.35/1.50 boundaries, sizing, owner-draw exclusions, history gaps, seasonality and no offer below RWF 3M. Keep older calculations replayable.</w:t>
            </w:r>
          </w:p>
        </w:tc>
      </w:tr>
      <w:tr>
        <w:trPr>
          <w:cantSplit/>
        </w:trPr>
        <w:tc>
          <w:tcPr>
            <w:tcW w:type="dxa" w:w="1584"/>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Exposure</w:t>
            </w:r>
          </w:p>
        </w:tc>
        <w:tc>
          <w:tcPr>
            <w:tcW w:type="dxa" w:w="8496"/>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Prove atomic borrower-wide reservation across concurrent applications/listings, distinct principal and debt-service measures, no double count on funding, and release exactly once.</w:t>
            </w:r>
          </w:p>
        </w:tc>
      </w:tr>
      <w:tr>
        <w:trPr>
          <w:cantSplit/>
        </w:trPr>
        <w:tc>
          <w:tcPr>
            <w:tcW w:type="dxa" w:w="1584"/>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Trading</w:t>
            </w:r>
          </w:p>
        </w:tc>
        <w:tc>
          <w:tcPr>
            <w:tcW w:type="dxa" w:w="8496"/>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Reconcile Holding/Listing/Bid/Reservation/Trade schemas; prove real PostgreSQL match/reserve/cancel/expire/halt/cutoff races and cash/unit conservation. Test maker/taker identity, fee rounding, price bands and small remainders.</w:t>
            </w:r>
          </w:p>
        </w:tc>
      </w:tr>
      <w:tr>
        <w:trPr>
          <w:cantSplit/>
        </w:trPr>
        <w:tc>
          <w:tcPr>
            <w:tcW w:type="dxa" w:w="1584"/>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Controls and UI</w:t>
            </w:r>
          </w:p>
        </w:tc>
        <w:tc>
          <w:tcPr>
            <w:tcW w:type="dxa" w:w="8496"/>
            <w:vAlign w:val="center"/>
            <w:tcMar>
              <w:top w:w="95" w:type="dxa"/>
              <w:bottom w:w="95" w:type="dxa"/>
              <w:left w:w="105" w:type="dxa"/>
              <w:right w:w="105" w:type="dxa"/>
            </w:tcMar>
            <w:shd w:fill="F7F9FB"/>
          </w:tcPr>
          <w:p>
            <w:pPr>
              <w:keepNext w:val="0"/>
              <w:spacing w:after="0" w:line="250" w:lineRule="auto"/>
            </w:pPr>
            <w:r>
              <w:rPr>
                <w:rFonts w:ascii="Arial" w:hAnsi="Arial"/>
                <w:b w:val="0"/>
                <w:color w:val="000000"/>
                <w:sz w:val="20"/>
              </w:rPr>
              <w:t>Prove separate note/account restrictions, timed and authorized releases, stale-event rejection, truthful risk/demand disclosures, and both developers' shared server/UI contract.</w:t>
            </w:r>
          </w:p>
        </w:tc>
      </w:tr>
      <w:tr>
        <w:trPr>
          <w:cantSplit/>
        </w:trPr>
        <w:tc>
          <w:tcPr>
            <w:tcW w:type="dxa" w:w="1584"/>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Governance</w:t>
            </w:r>
          </w:p>
        </w:tc>
        <w:tc>
          <w:tcPr>
            <w:tcW w:type="dxa" w:w="8496"/>
            <w:vAlign w:val="center"/>
            <w:tcMar>
              <w:top w:w="95" w:type="dxa"/>
              <w:bottom w:w="95" w:type="dxa"/>
              <w:left w:w="105" w:type="dxa"/>
              <w:right w:w="105" w:type="dxa"/>
            </w:tcMar>
            <w:shd w:fill="FFFFFF"/>
          </w:tcPr>
          <w:p>
            <w:pPr>
              <w:keepNext w:val="0"/>
              <w:spacing w:after="0" w:line="250" w:lineRule="auto"/>
            </w:pPr>
            <w:r>
              <w:rPr>
                <w:rFonts w:ascii="Arial" w:hAnsi="Arial"/>
                <w:b w:val="0"/>
                <w:color w:val="000000"/>
                <w:sz w:val="20"/>
              </w:rPr>
              <w:t>Amend the BRS, Appendix A, D-14/D-26/D-27 and other affected records only through the approved process. Rebaseline matching scope/schedule and new expected results; do not relabel historical fixtures as proof of the changed rules.</w:t>
            </w:r>
          </w:p>
        </w:tc>
      </w:tr>
    </w:tbl>
    <w:p>
      <w:pPr>
        <w:spacing w:after="0" w:line="120" w:lineRule="auto"/>
      </w:pPr>
    </w:p>
    <w:p>
      <w:r>
        <w:rPr>
          <w:rFonts w:ascii="Arial" w:hAnsi="Arial"/>
          <w:b w:val="0"/>
          <w:color w:val="000000"/>
        </w:rPr>
        <w:t>Suggested reply format: response-2026-09-20.1; name/role; F01–F07 answers or explicit exclusions; effective scope; evidence reference; date/time/timezone. No blanket approval is recorded over unanswered fields. No commit, push, message, policy activation, implementation acceptance or deployment is performed by preparing this record.</w:t>
      </w:r>
    </w:p>
    <w:p>
      <w:pPr>
        <w:pStyle w:val="Heading1"/>
      </w:pPr>
      <w:r>
        <w:t>6 Source references</w:t>
      </w:r>
    </w:p>
    <w:p>
      <w:r>
        <w:rPr>
          <w:rFonts w:ascii="Arial" w:hAnsi="Arial"/>
          <w:b w:val="0"/>
          <w:color w:val="000000"/>
        </w:rPr>
        <w:t>Consolidated question sheet response-2026-09-17.1; seven-page Answers.docx.pdf supplied as Robert and Kimani's answers; Robert's complete messages of 20 September 2026, 09:52:13 to 09:53:41 (timezone not supplied); and Hussain's confirmation that Kamau is Kimani.</w:t>
      </w:r>
    </w:p>
    <w:p>
      <w:r>
        <w:rPr>
          <w:rFonts w:ascii="Arial" w:hAnsi="Arial"/>
          <w:b w:val="0"/>
          <w:color w:val="000000"/>
        </w:rPr>
        <w:t>Read with Rozine BRS v1.0, the underwriting and secondary proposals of 10 September, the phased implementation plan and the source-authority record. Source file locations and SHA-256 identities are retained in the corresponding Markdown decision record. The earlier records remain unchanged.</w:t>
      </w:r>
    </w:p>
    <w:sectPr w:rsidR="00FC693F" w:rsidRPr="0006063C" w:rsidSect="00034616">
      <w:footerReference w:type="default" r:id="rId9"/>
      <w:pgSz w:w="12240" w:h="15840"/>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000000"/>
        <w:sz w:val="18"/>
      </w:rPr>
      <w:t xml:space="preserve">Rozine | 20 September 2026 | </w:t>
    </w: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250" w:lineRule="auto"/>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0" w:lineRule="auto"/>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250" w:lineRule="auto" w:before="0"/>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Rozine underwriting and secondary trading decision record</dc:title>
  <dc:subject>Recorded decisions and remaining confirmations as of 20 September 2026</dc:subject>
  <dc:creator>Hussain Aminu</dc:creator>
  <cp:keywords/>
  <dc:description/>
  <cp:lastModifiedBy/>
  <cp:revision>1</cp:revision>
  <dcterms:created xsi:type="dcterms:W3CDTF">2013-12-23T23:15:00Z</dcterms:created>
  <dcterms:modified xsi:type="dcterms:W3CDTF">2013-12-23T23:15:00Z</dcterms:modified>
  <cp:category/>
</cp:coreProperties>
</file>