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00" w:before="1600"/>
      </w:pPr>
      <w:r>
        <w:rPr>
          <w:rFonts w:ascii="Calibri" w:cs="Calibri" w:eastAsia="Calibri" w:hAnsi="Calibri"/>
          <w:b/>
          <w:bCs/>
          <w:color w:val="B08D57"/>
          <w:spacing w:val="30"/>
          <w:sz w:val="22"/>
          <w:szCs w:val="22"/>
        </w:rPr>
        <w:t xml:space="preserve">PLAN DE TRABAJO OPERATIVO</w:t>
      </w:r>
    </w:p>
    <w:p>
      <w:pPr>
        <w:spacing w:after="100"/>
      </w:pPr>
      <w:r>
        <w:rPr>
          <w:rFonts w:ascii="Cambria" w:cs="Cambria" w:eastAsia="Cambria" w:hAnsi="Cambria"/>
          <w:b/>
          <w:bCs/>
          <w:color w:val="1C1F26"/>
          <w:sz w:val="72"/>
          <w:szCs w:val="72"/>
        </w:rPr>
        <w:t xml:space="preserve">Hosty56</w:t>
      </w:r>
    </w:p>
    <w:p>
      <w:pPr>
        <w:spacing w:after="600"/>
      </w:pPr>
      <w:r>
        <w:rPr>
          <w:rFonts w:ascii="Calibri" w:cs="Calibri" w:eastAsia="Calibri" w:hAnsi="Calibri"/>
          <w:i/>
          <w:iCs/>
          <w:color w:val="6B6B66"/>
          <w:sz w:val="24"/>
          <w:szCs w:val="24"/>
        </w:rPr>
        <w:t xml:space="preserve">Venta discreta de un activo único · Bogotá, Colombia · 2026</w:t>
      </w:r>
    </w:p>
    <w:p>
      <w:pPr>
        <w:spacing w:after="60"/>
      </w:pPr>
      <w:r>
        <w:rPr>
          <w:rFonts w:ascii="Calibri" w:cs="Calibri" w:eastAsia="Calibri" w:hAnsi="Calibri"/>
          <w:color w:val="6B6B66"/>
          <w:sz w:val="20"/>
          <w:szCs w:val="20"/>
        </w:rPr>
        <w:t xml:space="preserve">Documento confidencial — uso exclusivo de los propietarios de Hosty56 y su equipo de gestión.</w:t>
      </w:r>
    </w:p>
    <w:p>
      <w:r>
        <w:br w:type="page"/>
      </w:r>
    </w:p>
    <w:p>
      <w:pPr>
        <w:pStyle w:val="Heading1"/>
        <w:spacing w:after="200" w:before="400"/>
      </w:pPr>
      <w:r>
        <w:rPr>
          <w:rFonts w:ascii="Cambria" w:cs="Cambria" w:eastAsia="Cambria" w:hAnsi="Cambria"/>
          <w:b/>
          <w:bCs/>
          <w:color w:val="1C1F26"/>
          <w:sz w:val="30"/>
          <w:szCs w:val="30"/>
        </w:rPr>
        <w:t xml:space="preserve">1. Resumen ejecutivo</w:t>
      </w:r>
    </w:p>
    <w:p>
      <w:pPr>
        <w:spacing w:after="140"/>
      </w:pPr>
      <w:r>
        <w:rPr>
          <w:rFonts w:ascii="Calibri" w:cs="Calibri" w:eastAsia="Calibri" w:hAnsi="Calibri"/>
          <w:color w:val="222222"/>
          <w:sz w:val="21"/>
          <w:szCs w:val="21"/>
        </w:rPr>
        <w:t xml:space="preserve">Hosty56 es un edificio de 4 plantas y 10 apartamentos en Bogotá, en operación activa como renta corta (Airbnb), con una facturación bruta actual de $40.000.000 mensuales (~$480.000.000 al año). El edificio no está constituido en propiedad horizontal, por lo que no puede venderse por unidades: la venta debe hacerse del edificio completo, o de la sociedad que lo posee, a un único comprador.</w:t>
      </w:r>
    </w:p>
    <w:p>
      <w:pPr>
        <w:spacing w:after="140"/>
      </w:pPr>
      <w:r>
        <w:rPr>
          <w:rFonts w:ascii="Calibri" w:cs="Calibri" w:eastAsia="Calibri" w:hAnsi="Calibri"/>
          <w:color w:val="222222"/>
          <w:sz w:val="21"/>
          <w:szCs w:val="21"/>
        </w:rPr>
        <w:t xml:space="preserve">Este documento define el plan operativo para encontrar ese comprador en un plazo objetivo de 3 meses (con apertura a extenderlo si es necesario), usando Meta Ads como único canal de difusión, bajo un esquema de discreción y filtro estricto: el mercado nunca ve la dirección exacta ni las cifras financieras completas sin antes calificar y firmar un acuerdo de confidencialidad (NDA).</w:t>
      </w:r>
    </w:p>
    <w:p>
      <w:pPr>
        <w:spacing w:after="140"/>
      </w:pPr>
      <w:r>
        <w:rPr>
          <w:rFonts w:ascii="Calibri" w:cs="Calibri" w:eastAsia="Calibri" w:hAnsi="Calibri"/>
          <w:color w:val="222222"/>
          <w:sz w:val="21"/>
          <w:szCs w:val="21"/>
        </w:rPr>
        <w:t xml:space="preserve">El valor de venta del edificio es de $4.000.000.000.</w:t>
      </w:r>
    </w:p>
    <w:p>
      <w:pPr>
        <w:pBdr>
          <w:bottom w:val="single" w:color="D9D6CF" w:sz="6"/>
        </w:pBdr>
        <w:spacing w:after="200" w:before="100"/>
      </w:pPr>
    </w:p>
    <w:p>
      <w:pPr>
        <w:pStyle w:val="Heading1"/>
        <w:spacing w:after="200" w:before="400"/>
      </w:pPr>
      <w:r>
        <w:rPr>
          <w:rFonts w:ascii="Cambria" w:cs="Cambria" w:eastAsia="Cambria" w:hAnsi="Cambria"/>
          <w:b/>
          <w:bCs/>
          <w:color w:val="1C1F26"/>
          <w:sz w:val="30"/>
          <w:szCs w:val="30"/>
        </w:rPr>
        <w:t xml:space="preserve">2. El activo</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3200"/>
        <w:gridCol w:w="6000"/>
      </w:tblGrid>
      <w:tr>
        <w:tc>
          <w:tcPr>
            <w:tcW w:type="dxa" w:w="3200"/>
            <w:shd w:fill="1C1F26" w:val="clear"/>
            <w:tcMar>
              <w:top w:type="dxa" w:w="100"/>
              <w:left w:type="dxa" w:w="150"/>
              <w:bottom w:type="dxa" w:w="100"/>
              <w:right w:type="dxa" w:w="150"/>
            </w:tcMar>
          </w:tcPr>
          <w:p>
            <w:r>
              <w:rPr>
                <w:rFonts w:ascii="Calibri" w:cs="Calibri" w:eastAsia="Calibri" w:hAnsi="Calibri"/>
                <w:b/>
                <w:bCs/>
                <w:color w:val="FFFFFF"/>
                <w:sz w:val="20"/>
                <w:szCs w:val="20"/>
              </w:rPr>
              <w:t xml:space="preserve">Dato</w:t>
            </w:r>
          </w:p>
        </w:tc>
        <w:tc>
          <w:tcPr>
            <w:tcW w:type="dxa" w:w="6000"/>
            <w:shd w:fill="1C1F26" w:val="clear"/>
            <w:tcMar>
              <w:top w:type="dxa" w:w="100"/>
              <w:left w:type="dxa" w:w="150"/>
              <w:bottom w:type="dxa" w:w="100"/>
              <w:right w:type="dxa" w:w="150"/>
            </w:tcMar>
          </w:tcPr>
          <w:p>
            <w:r>
              <w:rPr>
                <w:rFonts w:ascii="Calibri" w:cs="Calibri" w:eastAsia="Calibri" w:hAnsi="Calibri"/>
                <w:b/>
                <w:bCs/>
                <w:color w:val="FFFFFF"/>
                <w:sz w:val="20"/>
                <w:szCs w:val="20"/>
              </w:rPr>
              <w:t xml:space="preserve">Valor</w:t>
            </w:r>
          </w:p>
        </w:tc>
      </w:tr>
      <w:tr>
        <w:tc>
          <w:tcPr>
            <w:tcW w:type="dxa" w:w="3200"/>
            <w:shd w:fill="FFFFFF" w:val="clear"/>
            <w:tcMar>
              <w:top w:type="dxa" w:w="100"/>
              <w:left w:type="dxa" w:w="150"/>
              <w:bottom w:type="dxa" w:w="100"/>
              <w:right w:type="dxa" w:w="150"/>
            </w:tcMar>
          </w:tcPr>
          <w:p>
            <w:r>
              <w:rPr>
                <w:rFonts w:ascii="Calibri" w:cs="Calibri" w:eastAsia="Calibri" w:hAnsi="Calibri"/>
                <w:b w:val="false"/>
                <w:bCs w:val="false"/>
                <w:color w:val="222222"/>
                <w:sz w:val="20"/>
                <w:szCs w:val="20"/>
              </w:rPr>
              <w:t xml:space="preserve">Nombre / alias del proyecto</w:t>
            </w:r>
          </w:p>
        </w:tc>
        <w:tc>
          <w:tcPr>
            <w:tcW w:type="dxa" w:w="6000"/>
            <w:shd w:fill="FFFFFF" w:val="clear"/>
            <w:tcMar>
              <w:top w:type="dxa" w:w="100"/>
              <w:left w:type="dxa" w:w="150"/>
              <w:bottom w:type="dxa" w:w="100"/>
              <w:right w:type="dxa" w:w="150"/>
            </w:tcMar>
          </w:tcPr>
          <w:p>
            <w:r>
              <w:rPr>
                <w:rFonts w:ascii="Calibri" w:cs="Calibri" w:eastAsia="Calibri" w:hAnsi="Calibri"/>
                <w:b w:val="false"/>
                <w:bCs w:val="false"/>
                <w:color w:val="222222"/>
                <w:sz w:val="20"/>
                <w:szCs w:val="20"/>
              </w:rPr>
              <w:t xml:space="preserve">Hosty56</w:t>
            </w:r>
          </w:p>
        </w:tc>
      </w:tr>
      <w:tr>
        <w:tc>
          <w:tcPr>
            <w:tcW w:type="dxa" w:w="3200"/>
            <w:shd w:fill="F4F3F1" w:val="clear"/>
            <w:tcMar>
              <w:top w:type="dxa" w:w="100"/>
              <w:left w:type="dxa" w:w="150"/>
              <w:bottom w:type="dxa" w:w="100"/>
              <w:right w:type="dxa" w:w="150"/>
            </w:tcMar>
          </w:tcPr>
          <w:p>
            <w:r>
              <w:rPr>
                <w:rFonts w:ascii="Calibri" w:cs="Calibri" w:eastAsia="Calibri" w:hAnsi="Calibri"/>
                <w:b w:val="false"/>
                <w:bCs w:val="false"/>
                <w:color w:val="222222"/>
                <w:sz w:val="20"/>
                <w:szCs w:val="20"/>
              </w:rPr>
              <w:t xml:space="preserve">Ubicación</w:t>
            </w:r>
          </w:p>
        </w:tc>
        <w:tc>
          <w:tcPr>
            <w:tcW w:type="dxa" w:w="6000"/>
            <w:shd w:fill="F4F3F1" w:val="clear"/>
            <w:tcMar>
              <w:top w:type="dxa" w:w="100"/>
              <w:left w:type="dxa" w:w="150"/>
              <w:bottom w:type="dxa" w:w="100"/>
              <w:right w:type="dxa" w:w="150"/>
            </w:tcMar>
          </w:tcPr>
          <w:p>
            <w:r>
              <w:rPr>
                <w:rFonts w:ascii="Calibri" w:cs="Calibri" w:eastAsia="Calibri" w:hAnsi="Calibri"/>
                <w:b w:val="false"/>
                <w:bCs w:val="false"/>
                <w:color w:val="222222"/>
                <w:sz w:val="20"/>
                <w:szCs w:val="20"/>
              </w:rPr>
              <w:t xml:space="preserve">Bogotá, Colombia</w:t>
            </w:r>
          </w:p>
        </w:tc>
      </w:tr>
      <w:tr>
        <w:tc>
          <w:tcPr>
            <w:tcW w:type="dxa" w:w="3200"/>
            <w:shd w:fill="FFFFFF" w:val="clear"/>
            <w:tcMar>
              <w:top w:type="dxa" w:w="100"/>
              <w:left w:type="dxa" w:w="150"/>
              <w:bottom w:type="dxa" w:w="100"/>
              <w:right w:type="dxa" w:w="150"/>
            </w:tcMar>
          </w:tcPr>
          <w:p>
            <w:r>
              <w:rPr>
                <w:rFonts w:ascii="Calibri" w:cs="Calibri" w:eastAsia="Calibri" w:hAnsi="Calibri"/>
                <w:b w:val="false"/>
                <w:bCs w:val="false"/>
                <w:color w:val="222222"/>
                <w:sz w:val="20"/>
                <w:szCs w:val="20"/>
              </w:rPr>
              <w:t xml:space="preserve">Tipo de activo</w:t>
            </w:r>
          </w:p>
        </w:tc>
        <w:tc>
          <w:tcPr>
            <w:tcW w:type="dxa" w:w="6000"/>
            <w:shd w:fill="FFFFFF" w:val="clear"/>
            <w:tcMar>
              <w:top w:type="dxa" w:w="100"/>
              <w:left w:type="dxa" w:w="150"/>
              <w:bottom w:type="dxa" w:w="100"/>
              <w:right w:type="dxa" w:w="150"/>
            </w:tcMar>
          </w:tcPr>
          <w:p>
            <w:r>
              <w:rPr>
                <w:rFonts w:ascii="Calibri" w:cs="Calibri" w:eastAsia="Calibri" w:hAnsi="Calibri"/>
                <w:b w:val="false"/>
                <w:bCs w:val="false"/>
                <w:color w:val="222222"/>
                <w:sz w:val="20"/>
                <w:szCs w:val="20"/>
              </w:rPr>
              <w:t xml:space="preserve">Edificio de 4 plantas, 10 apartamentos</w:t>
            </w:r>
          </w:p>
        </w:tc>
      </w:tr>
      <w:tr>
        <w:tc>
          <w:tcPr>
            <w:tcW w:type="dxa" w:w="3200"/>
            <w:shd w:fill="F4F3F1" w:val="clear"/>
            <w:tcMar>
              <w:top w:type="dxa" w:w="100"/>
              <w:left w:type="dxa" w:w="150"/>
              <w:bottom w:type="dxa" w:w="100"/>
              <w:right w:type="dxa" w:w="150"/>
            </w:tcMar>
          </w:tcPr>
          <w:p>
            <w:r>
              <w:rPr>
                <w:rFonts w:ascii="Calibri" w:cs="Calibri" w:eastAsia="Calibri" w:hAnsi="Calibri"/>
                <w:b w:val="false"/>
                <w:bCs w:val="false"/>
                <w:color w:val="222222"/>
                <w:sz w:val="20"/>
                <w:szCs w:val="20"/>
              </w:rPr>
              <w:t xml:space="preserve">Operación actual</w:t>
            </w:r>
          </w:p>
        </w:tc>
        <w:tc>
          <w:tcPr>
            <w:tcW w:type="dxa" w:w="6000"/>
            <w:shd w:fill="F4F3F1" w:val="clear"/>
            <w:tcMar>
              <w:top w:type="dxa" w:w="100"/>
              <w:left w:type="dxa" w:w="150"/>
              <w:bottom w:type="dxa" w:w="100"/>
              <w:right w:type="dxa" w:w="150"/>
            </w:tcMar>
          </w:tcPr>
          <w:p>
            <w:r>
              <w:rPr>
                <w:rFonts w:ascii="Calibri" w:cs="Calibri" w:eastAsia="Calibri" w:hAnsi="Calibri"/>
                <w:b w:val="false"/>
                <w:bCs w:val="false"/>
                <w:color w:val="222222"/>
                <w:sz w:val="20"/>
                <w:szCs w:val="20"/>
              </w:rPr>
              <w:t xml:space="preserve">Renta corta (Airbnb) en funcionamiento</w:t>
            </w:r>
          </w:p>
        </w:tc>
      </w:tr>
      <w:tr>
        <w:tc>
          <w:tcPr>
            <w:tcW w:type="dxa" w:w="3200"/>
            <w:shd w:fill="FFFFFF" w:val="clear"/>
            <w:tcMar>
              <w:top w:type="dxa" w:w="100"/>
              <w:left w:type="dxa" w:w="150"/>
              <w:bottom w:type="dxa" w:w="100"/>
              <w:right w:type="dxa" w:w="150"/>
            </w:tcMar>
          </w:tcPr>
          <w:p>
            <w:r>
              <w:rPr>
                <w:rFonts w:ascii="Calibri" w:cs="Calibri" w:eastAsia="Calibri" w:hAnsi="Calibri"/>
                <w:b w:val="false"/>
                <w:bCs w:val="false"/>
                <w:color w:val="222222"/>
                <w:sz w:val="20"/>
                <w:szCs w:val="20"/>
              </w:rPr>
              <w:t xml:space="preserve">Facturación bruta mensual</w:t>
            </w:r>
          </w:p>
        </w:tc>
        <w:tc>
          <w:tcPr>
            <w:tcW w:type="dxa" w:w="6000"/>
            <w:shd w:fill="FFFFFF" w:val="clear"/>
            <w:tcMar>
              <w:top w:type="dxa" w:w="100"/>
              <w:left w:type="dxa" w:w="150"/>
              <w:bottom w:type="dxa" w:w="100"/>
              <w:right w:type="dxa" w:w="150"/>
            </w:tcMar>
          </w:tcPr>
          <w:p>
            <w:r>
              <w:rPr>
                <w:rFonts w:ascii="Calibri" w:cs="Calibri" w:eastAsia="Calibri" w:hAnsi="Calibri"/>
                <w:b w:val="false"/>
                <w:bCs w:val="false"/>
                <w:color w:val="222222"/>
                <w:sz w:val="20"/>
                <w:szCs w:val="20"/>
              </w:rPr>
              <w:t xml:space="preserve">$40.000.000 (cifra bruta, antes de gastos operativos, hipoteca e impuestos)</w:t>
            </w:r>
          </w:p>
        </w:tc>
      </w:tr>
      <w:tr>
        <w:tc>
          <w:tcPr>
            <w:tcW w:type="dxa" w:w="3200"/>
            <w:shd w:fill="F4F3F1" w:val="clear"/>
            <w:tcMar>
              <w:top w:type="dxa" w:w="100"/>
              <w:left w:type="dxa" w:w="150"/>
              <w:bottom w:type="dxa" w:w="100"/>
              <w:right w:type="dxa" w:w="150"/>
            </w:tcMar>
          </w:tcPr>
          <w:p>
            <w:r>
              <w:rPr>
                <w:rFonts w:ascii="Calibri" w:cs="Calibri" w:eastAsia="Calibri" w:hAnsi="Calibri"/>
                <w:b w:val="false"/>
                <w:bCs w:val="false"/>
                <w:color w:val="222222"/>
                <w:sz w:val="20"/>
                <w:szCs w:val="20"/>
              </w:rPr>
              <w:t xml:space="preserve">Facturación bruta anual (aprox.)</w:t>
            </w:r>
          </w:p>
        </w:tc>
        <w:tc>
          <w:tcPr>
            <w:tcW w:type="dxa" w:w="6000"/>
            <w:shd w:fill="F4F3F1" w:val="clear"/>
            <w:tcMar>
              <w:top w:type="dxa" w:w="100"/>
              <w:left w:type="dxa" w:w="150"/>
              <w:bottom w:type="dxa" w:w="100"/>
              <w:right w:type="dxa" w:w="150"/>
            </w:tcMar>
          </w:tcPr>
          <w:p>
            <w:r>
              <w:rPr>
                <w:rFonts w:ascii="Calibri" w:cs="Calibri" w:eastAsia="Calibri" w:hAnsi="Calibri"/>
                <w:b w:val="false"/>
                <w:bCs w:val="false"/>
                <w:color w:val="222222"/>
                <w:sz w:val="20"/>
                <w:szCs w:val="20"/>
              </w:rPr>
              <w:t xml:space="preserve">$480.000.000</w:t>
            </w:r>
          </w:p>
        </w:tc>
      </w:tr>
      <w:tr>
        <w:tc>
          <w:tcPr>
            <w:tcW w:type="dxa" w:w="3200"/>
            <w:shd w:fill="FFFFFF" w:val="clear"/>
            <w:tcMar>
              <w:top w:type="dxa" w:w="100"/>
              <w:left w:type="dxa" w:w="150"/>
              <w:bottom w:type="dxa" w:w="100"/>
              <w:right w:type="dxa" w:w="150"/>
            </w:tcMar>
          </w:tcPr>
          <w:p>
            <w:r>
              <w:rPr>
                <w:rFonts w:ascii="Calibri" w:cs="Calibri" w:eastAsia="Calibri" w:hAnsi="Calibri"/>
                <w:b w:val="false"/>
                <w:bCs w:val="false"/>
                <w:color w:val="222222"/>
                <w:sz w:val="20"/>
                <w:szCs w:val="20"/>
              </w:rPr>
              <w:t xml:space="preserve">Yield bruto anual sobre valor de venta</w:t>
            </w:r>
          </w:p>
        </w:tc>
        <w:tc>
          <w:tcPr>
            <w:tcW w:type="dxa" w:w="6000"/>
            <w:shd w:fill="FFFFFF" w:val="clear"/>
            <w:tcMar>
              <w:top w:type="dxa" w:w="100"/>
              <w:left w:type="dxa" w:w="150"/>
              <w:bottom w:type="dxa" w:w="100"/>
              <w:right w:type="dxa" w:w="150"/>
            </w:tcMar>
          </w:tcPr>
          <w:p>
            <w:r>
              <w:rPr>
                <w:rFonts w:ascii="Calibri" w:cs="Calibri" w:eastAsia="Calibri" w:hAnsi="Calibri"/>
                <w:b w:val="false"/>
                <w:bCs w:val="false"/>
                <w:color w:val="222222"/>
                <w:sz w:val="20"/>
                <w:szCs w:val="20"/>
              </w:rPr>
              <w:t xml:space="preserve">≈ 12%</w:t>
            </w:r>
          </w:p>
        </w:tc>
      </w:tr>
      <w:tr>
        <w:tc>
          <w:tcPr>
            <w:tcW w:type="dxa" w:w="3200"/>
            <w:shd w:fill="F4F3F1" w:val="clear"/>
            <w:tcMar>
              <w:top w:type="dxa" w:w="100"/>
              <w:left w:type="dxa" w:w="150"/>
              <w:bottom w:type="dxa" w:w="100"/>
              <w:right w:type="dxa" w:w="150"/>
            </w:tcMar>
          </w:tcPr>
          <w:p>
            <w:r>
              <w:rPr>
                <w:rFonts w:ascii="Calibri" w:cs="Calibri" w:eastAsia="Calibri" w:hAnsi="Calibri"/>
                <w:b w:val="false"/>
                <w:bCs w:val="false"/>
                <w:color w:val="222222"/>
                <w:sz w:val="20"/>
                <w:szCs w:val="20"/>
              </w:rPr>
              <w:t xml:space="preserve">Valor de venta</w:t>
            </w:r>
          </w:p>
        </w:tc>
        <w:tc>
          <w:tcPr>
            <w:tcW w:type="dxa" w:w="6000"/>
            <w:shd w:fill="F4F3F1" w:val="clear"/>
            <w:tcMar>
              <w:top w:type="dxa" w:w="100"/>
              <w:left w:type="dxa" w:w="150"/>
              <w:bottom w:type="dxa" w:w="100"/>
              <w:right w:type="dxa" w:w="150"/>
            </w:tcMar>
          </w:tcPr>
          <w:p>
            <w:r>
              <w:rPr>
                <w:rFonts w:ascii="Calibri" w:cs="Calibri" w:eastAsia="Calibri" w:hAnsi="Calibri"/>
                <w:b w:val="false"/>
                <w:bCs w:val="false"/>
                <w:color w:val="222222"/>
                <w:sz w:val="20"/>
                <w:szCs w:val="20"/>
              </w:rPr>
              <w:t xml:space="preserve">$4.000.000.000</w:t>
            </w:r>
          </w:p>
        </w:tc>
      </w:tr>
      <w:tr>
        <w:tc>
          <w:tcPr>
            <w:tcW w:type="dxa" w:w="3200"/>
            <w:shd w:fill="FFFFFF" w:val="clear"/>
            <w:tcMar>
              <w:top w:type="dxa" w:w="100"/>
              <w:left w:type="dxa" w:w="150"/>
              <w:bottom w:type="dxa" w:w="100"/>
              <w:right w:type="dxa" w:w="150"/>
            </w:tcMar>
          </w:tcPr>
          <w:p>
            <w:r>
              <w:rPr>
                <w:rFonts w:ascii="Calibri" w:cs="Calibri" w:eastAsia="Calibri" w:hAnsi="Calibri"/>
                <w:b w:val="false"/>
                <w:bCs w:val="false"/>
                <w:color w:val="222222"/>
                <w:sz w:val="20"/>
                <w:szCs w:val="20"/>
              </w:rPr>
              <w:t xml:space="preserve">Régimen de propiedad</w:t>
            </w:r>
          </w:p>
        </w:tc>
        <w:tc>
          <w:tcPr>
            <w:tcW w:type="dxa" w:w="6000"/>
            <w:shd w:fill="FFFFFF" w:val="clear"/>
            <w:tcMar>
              <w:top w:type="dxa" w:w="100"/>
              <w:left w:type="dxa" w:w="150"/>
              <w:bottom w:type="dxa" w:w="100"/>
              <w:right w:type="dxa" w:w="150"/>
            </w:tcMar>
          </w:tcPr>
          <w:p>
            <w:r>
              <w:rPr>
                <w:rFonts w:ascii="Calibri" w:cs="Calibri" w:eastAsia="Calibri" w:hAnsi="Calibri"/>
                <w:b w:val="false"/>
                <w:bCs w:val="false"/>
                <w:color w:val="222222"/>
                <w:sz w:val="20"/>
                <w:szCs w:val="20"/>
              </w:rPr>
              <w:t xml:space="preserve">No es propiedad horizontal — se vende completo o la sociedad dueña</w:t>
            </w:r>
          </w:p>
        </w:tc>
      </w:tr>
    </w:tbl>
    <w:p>
      <w:pPr>
        <w:spacing w:before="200"/>
      </w:pPr>
    </w:p>
    <w:p>
      <w:pPr>
        <w:spacing w:after="140"/>
      </w:pPr>
      <w:r>
        <w:rPr>
          <w:rFonts w:ascii="Calibri" w:cs="Calibri" w:eastAsia="Calibri" w:hAnsi="Calibri"/>
          <w:color w:val="222222"/>
          <w:sz w:val="21"/>
          <w:szCs w:val="21"/>
        </w:rPr>
        <w:t xml:space="preserve">Nota importante: en todo material de marketing, la facturación debe presentarse siempre como cifra bruta. No se dispone de cifras de rentabilidad neta (gastos operativos, administración, impuestos), por lo que no debe comunicarse ni insinuarse un retorno neto específico al comprador.</w:t>
      </w:r>
    </w:p>
    <w:p>
      <w:pPr>
        <w:pBdr>
          <w:bottom w:val="single" w:color="D9D6CF" w:sz="6"/>
        </w:pBdr>
        <w:spacing w:after="200" w:before="100"/>
      </w:pPr>
    </w:p>
    <w:p>
      <w:pPr>
        <w:pStyle w:val="Heading1"/>
        <w:spacing w:after="200" w:before="400"/>
      </w:pPr>
      <w:r>
        <w:rPr>
          <w:rFonts w:ascii="Cambria" w:cs="Cambria" w:eastAsia="Cambria" w:hAnsi="Cambria"/>
          <w:b/>
          <w:bCs/>
          <w:color w:val="1C1F26"/>
          <w:sz w:val="30"/>
          <w:szCs w:val="30"/>
        </w:rPr>
        <w:t xml:space="preserve">3. Consideraciones legales</w:t>
      </w:r>
    </w:p>
    <w:p>
      <w:pPr>
        <w:spacing w:after="140"/>
      </w:pPr>
      <w:r>
        <w:rPr>
          <w:rFonts w:ascii="Calibri" w:cs="Calibri" w:eastAsia="Calibri" w:hAnsi="Calibri"/>
          <w:color w:val="222222"/>
          <w:sz w:val="21"/>
          <w:szCs w:val="21"/>
        </w:rPr>
        <w:t xml:space="preserve">Existen dos frentes legales que deben avanzar en paralelo al proceso comercial. Ninguno de los dos detiene el lanzamiento de la campaña, pero ambos deben tener claridad de plazos antes de comprometerse con un comprador en la etapa de negociación.</w:t>
      </w:r>
    </w:p>
    <w:p>
      <w:pPr>
        <w:pStyle w:val="Heading2"/>
        <w:spacing w:after="140" w:before="300"/>
      </w:pPr>
      <w:r>
        <w:rPr>
          <w:rFonts w:ascii="Calibri" w:cs="Calibri" w:eastAsia="Calibri" w:hAnsi="Calibri"/>
          <w:b/>
          <w:bCs/>
          <w:color w:val="B08D57"/>
          <w:sz w:val="24"/>
          <w:szCs w:val="24"/>
        </w:rPr>
        <w:t xml:space="preserve">3.1 Hipoteca vigente</w:t>
      </w:r>
    </w:p>
    <w:p>
      <w:pPr>
        <w:spacing w:after="140"/>
      </w:pPr>
      <w:r>
        <w:rPr>
          <w:rFonts w:ascii="Calibri" w:cs="Calibri" w:eastAsia="Calibri" w:hAnsi="Calibri"/>
          <w:color w:val="222222"/>
          <w:sz w:val="21"/>
          <w:szCs w:val="21"/>
        </w:rPr>
        <w:t xml:space="preserve">El inmueble tiene una hipoteca activa a nombre de la sociedad propietaria. Debe definirse con anticipación, junto con el abogado de los propietarios, si esta se cancela antes del cierre o si se estructura como parte del precio de venta (asunción de deuda, descuento del saldo, etc.).</w:t>
      </w:r>
    </w:p>
    <w:p>
      <w:pPr>
        <w:pStyle w:val="Heading2"/>
        <w:spacing w:after="140" w:before="300"/>
      </w:pPr>
      <w:r>
        <w:rPr>
          <w:rFonts w:ascii="Calibri" w:cs="Calibri" w:eastAsia="Calibri" w:hAnsi="Calibri"/>
          <w:b/>
          <w:bCs/>
          <w:color w:val="B08D57"/>
          <w:sz w:val="24"/>
          <w:szCs w:val="24"/>
        </w:rPr>
        <w:t xml:space="preserve">3.2 Proceso de sucesión</w:t>
      </w:r>
    </w:p>
    <w:p>
      <w:pPr>
        <w:spacing w:after="140"/>
      </w:pPr>
      <w:r>
        <w:rPr>
          <w:rFonts w:ascii="Calibri" w:cs="Calibri" w:eastAsia="Calibri" w:hAnsi="Calibri"/>
          <w:color w:val="222222"/>
          <w:sz w:val="21"/>
          <w:szCs w:val="21"/>
        </w:rPr>
        <w:t xml:space="preserve">Un porcentaje de la participación societaria (no la totalidad) está sujeto a un proceso de sucesión en curso. Se recomienda confirmar con el abogado de los propietarios un cronograma estimado de resolución. Si no existe una fecha clara, se debe ajustar la expectativa de cierre con cualquier comprador avanzado antes de firmar compromisos vinculantes.</w:t>
      </w:r>
    </w:p>
    <w:p>
      <w:pPr>
        <w:pStyle w:val="Heading2"/>
        <w:spacing w:after="140" w:before="300"/>
      </w:pPr>
      <w:r>
        <w:rPr>
          <w:rFonts w:ascii="Calibri" w:cs="Calibri" w:eastAsia="Calibri" w:hAnsi="Calibri"/>
          <w:b/>
          <w:bCs/>
          <w:color w:val="B08D57"/>
          <w:sz w:val="24"/>
          <w:szCs w:val="24"/>
        </w:rPr>
        <w:t xml:space="preserve">3.3 Manejo de esta información frente al mercado</w:t>
      </w:r>
    </w:p>
    <w:p>
      <w:pPr>
        <w:pStyle w:val="ListParagraph"/>
        <w:numPr>
          <w:ilvl w:val="0"/>
          <w:numId w:val="2"/>
        </w:numPr>
        <w:spacing w:after="90"/>
      </w:pPr>
      <w:r>
        <w:rPr>
          <w:rFonts w:ascii="Calibri" w:cs="Calibri" w:eastAsia="Calibri" w:hAnsi="Calibri"/>
          <w:color w:val="222222"/>
          <w:sz w:val="21"/>
          <w:szCs w:val="21"/>
        </w:rPr>
        <w:t xml:space="preserve">Nunca se menciona la hipoteca ni la sucesión en el teaser público ni en los anuncios de Meta Ads.</w:t>
      </w:r>
    </w:p>
    <w:p>
      <w:pPr>
        <w:pStyle w:val="ListParagraph"/>
        <w:numPr>
          <w:ilvl w:val="0"/>
          <w:numId w:val="2"/>
        </w:numPr>
        <w:spacing w:after="90"/>
      </w:pPr>
      <w:r>
        <w:rPr>
          <w:rFonts w:ascii="Calibri" w:cs="Calibri" w:eastAsia="Calibri" w:hAnsi="Calibri"/>
          <w:color w:val="222222"/>
          <w:sz w:val="21"/>
          <w:szCs w:val="21"/>
        </w:rPr>
        <w:t xml:space="preserve">Se revela únicamente en el dossier confidencial, después de que el interesado firme el NDA.</w:t>
      </w:r>
    </w:p>
    <w:p>
      <w:pPr>
        <w:pStyle w:val="ListParagraph"/>
        <w:numPr>
          <w:ilvl w:val="0"/>
          <w:numId w:val="2"/>
        </w:numPr>
        <w:spacing w:after="90"/>
      </w:pPr>
      <w:r>
        <w:rPr>
          <w:rFonts w:ascii="Calibri" w:cs="Calibri" w:eastAsia="Calibri" w:hAnsi="Calibri"/>
          <w:color w:val="222222"/>
          <w:sz w:val="21"/>
          <w:szCs w:val="21"/>
        </w:rPr>
        <w:t xml:space="preserve">Se presenta con transparencia y en términos neutros: como parte de la estructura legal de la sociedad, no como un problema.</w:t>
      </w:r>
    </w:p>
    <w:p>
      <w:pPr>
        <w:pBdr>
          <w:bottom w:val="single" w:color="D9D6CF" w:sz="6"/>
        </w:pBdr>
        <w:spacing w:after="200" w:before="100"/>
      </w:pPr>
    </w:p>
    <w:p>
      <w:pPr>
        <w:pStyle w:val="Heading1"/>
        <w:spacing w:after="200" w:before="400"/>
      </w:pPr>
      <w:r>
        <w:rPr>
          <w:rFonts w:ascii="Cambria" w:cs="Cambria" w:eastAsia="Cambria" w:hAnsi="Cambria"/>
          <w:b/>
          <w:bCs/>
          <w:color w:val="1C1F26"/>
          <w:sz w:val="30"/>
          <w:szCs w:val="30"/>
        </w:rPr>
        <w:t xml:space="preserve">4. Objetivo del plan y perfil de comprador</w:t>
      </w:r>
    </w:p>
    <w:p>
      <w:pPr>
        <w:spacing w:after="140"/>
      </w:pPr>
      <w:r>
        <w:rPr>
          <w:rFonts w:ascii="Calibri" w:cs="Calibri" w:eastAsia="Calibri" w:hAnsi="Calibri"/>
          <w:color w:val="222222"/>
          <w:sz w:val="21"/>
          <w:szCs w:val="21"/>
        </w:rPr>
        <w:t xml:space="preserve">Objetivo: identificar, calificar y cerrar la venta de Hosty56 con un único comprador (persona natural, sociedad o consorcio) en un plazo objetivo de 3 meses, con apertura a extender el plazo si el proceso lo requiere.</w:t>
      </w:r>
    </w:p>
    <w:p>
      <w:pPr>
        <w:pStyle w:val="Heading2"/>
        <w:spacing w:after="140" w:before="300"/>
      </w:pPr>
      <w:r>
        <w:rPr>
          <w:rFonts w:ascii="Calibri" w:cs="Calibri" w:eastAsia="Calibri" w:hAnsi="Calibri"/>
          <w:b/>
          <w:bCs/>
          <w:color w:val="B08D57"/>
          <w:sz w:val="24"/>
          <w:szCs w:val="24"/>
        </w:rPr>
        <w:t xml:space="preserve">Perfiles de comprador objetivo (cualquiera de los siguientes, sin exclusión)</w:t>
      </w:r>
    </w:p>
    <w:p>
      <w:pPr>
        <w:pStyle w:val="ListParagraph"/>
        <w:numPr>
          <w:ilvl w:val="0"/>
          <w:numId w:val="2"/>
        </w:numPr>
        <w:spacing w:after="90"/>
      </w:pPr>
      <w:r>
        <w:rPr>
          <w:rFonts w:ascii="Calibri" w:cs="Calibri" w:eastAsia="Calibri" w:hAnsi="Calibri"/>
          <w:color w:val="222222"/>
          <w:sz w:val="21"/>
          <w:szCs w:val="21"/>
        </w:rPr>
        <w:t xml:space="preserve">Fondos inmobiliarios</w:t>
      </w:r>
    </w:p>
    <w:p>
      <w:pPr>
        <w:pStyle w:val="ListParagraph"/>
        <w:numPr>
          <w:ilvl w:val="0"/>
          <w:numId w:val="2"/>
        </w:numPr>
        <w:spacing w:after="90"/>
      </w:pPr>
      <w:r>
        <w:rPr>
          <w:rFonts w:ascii="Calibri" w:cs="Calibri" w:eastAsia="Calibri" w:hAnsi="Calibri"/>
          <w:color w:val="222222"/>
          <w:sz w:val="21"/>
          <w:szCs w:val="21"/>
        </w:rPr>
        <w:t xml:space="preserve">Operadores hoteleros o de renta corta que busquen escalar</w:t>
      </w:r>
    </w:p>
    <w:p>
      <w:pPr>
        <w:pStyle w:val="ListParagraph"/>
        <w:numPr>
          <w:ilvl w:val="0"/>
          <w:numId w:val="2"/>
        </w:numPr>
        <w:spacing w:after="90"/>
      </w:pPr>
      <w:r>
        <w:rPr>
          <w:rFonts w:ascii="Calibri" w:cs="Calibri" w:eastAsia="Calibri" w:hAnsi="Calibri"/>
          <w:color w:val="222222"/>
          <w:sz w:val="21"/>
          <w:szCs w:val="21"/>
        </w:rPr>
        <w:t xml:space="preserve">Family offices</w:t>
      </w:r>
    </w:p>
    <w:p>
      <w:pPr>
        <w:pStyle w:val="ListParagraph"/>
        <w:numPr>
          <w:ilvl w:val="0"/>
          <w:numId w:val="2"/>
        </w:numPr>
        <w:spacing w:after="90"/>
      </w:pPr>
      <w:r>
        <w:rPr>
          <w:rFonts w:ascii="Calibri" w:cs="Calibri" w:eastAsia="Calibri" w:hAnsi="Calibri"/>
          <w:color w:val="222222"/>
          <w:sz w:val="21"/>
          <w:szCs w:val="21"/>
        </w:rPr>
        <w:t xml:space="preserve">Inversionistas extranjeros</w:t>
      </w:r>
    </w:p>
    <w:p>
      <w:pPr>
        <w:pStyle w:val="ListParagraph"/>
        <w:numPr>
          <w:ilvl w:val="0"/>
          <w:numId w:val="2"/>
        </w:numPr>
        <w:spacing w:after="90"/>
      </w:pPr>
      <w:r>
        <w:rPr>
          <w:rFonts w:ascii="Calibri" w:cs="Calibri" w:eastAsia="Calibri" w:hAnsi="Calibri"/>
          <w:color w:val="222222"/>
          <w:sz w:val="21"/>
          <w:szCs w:val="21"/>
        </w:rPr>
        <w:t xml:space="preserve">Interesados en convertir el edificio a propiedad horizontal a futuro</w:t>
      </w:r>
    </w:p>
    <w:p>
      <w:pPr>
        <w:spacing w:after="140"/>
      </w:pPr>
      <w:r>
        <w:rPr>
          <w:rFonts w:ascii="Calibri" w:cs="Calibri" w:eastAsia="Calibri" w:hAnsi="Calibri"/>
          <w:color w:val="222222"/>
          <w:sz w:val="21"/>
          <w:szCs w:val="21"/>
        </w:rPr>
        <w:t xml:space="preserve">El filtro determinante no es el tipo de comprador, sino su capacidad real de compra total del activo ($4.000.000.000).</w:t>
      </w:r>
    </w:p>
    <w:p>
      <w:pPr>
        <w:pBdr>
          <w:bottom w:val="single" w:color="D9D6CF" w:sz="6"/>
        </w:pBdr>
        <w:spacing w:after="200" w:before="100"/>
      </w:pPr>
    </w:p>
    <w:p>
      <w:pPr>
        <w:pStyle w:val="Heading1"/>
        <w:spacing w:after="200" w:before="400"/>
      </w:pPr>
      <w:r>
        <w:rPr>
          <w:rFonts w:ascii="Cambria" w:cs="Cambria" w:eastAsia="Cambria" w:hAnsi="Cambria"/>
          <w:b/>
          <w:bCs/>
          <w:color w:val="1C1F26"/>
          <w:sz w:val="30"/>
          <w:szCs w:val="30"/>
        </w:rPr>
        <w:t xml:space="preserve">5. Estrategia general: cuatro etapas</w:t>
      </w:r>
    </w:p>
    <w:p>
      <w:pPr>
        <w:spacing w:after="140"/>
      </w:pPr>
      <w:r>
        <w:rPr>
          <w:rFonts w:ascii="Calibri" w:cs="Calibri" w:eastAsia="Calibri" w:hAnsi="Calibri"/>
          <w:color w:val="222222"/>
          <w:sz w:val="21"/>
          <w:szCs w:val="21"/>
        </w:rPr>
        <w:t xml:space="preserve">El proceso reemplaza la lógica de un embudo de ventas de producto recurrente por una de venta de activo único: cada etapa filtra al público hasta llegar a un comprador calificado.</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3400"/>
        <w:gridCol w:w="5800"/>
      </w:tblGrid>
      <w:tr>
        <w:tc>
          <w:tcPr>
            <w:tcW w:type="dxa" w:w="3400"/>
            <w:shd w:fill="1C1F26" w:val="clear"/>
            <w:tcMar>
              <w:top w:type="dxa" w:w="100"/>
              <w:left w:type="dxa" w:w="150"/>
              <w:bottom w:type="dxa" w:w="100"/>
              <w:right w:type="dxa" w:w="150"/>
            </w:tcMar>
          </w:tcPr>
          <w:p>
            <w:r>
              <w:rPr>
                <w:rFonts w:ascii="Calibri" w:cs="Calibri" w:eastAsia="Calibri" w:hAnsi="Calibri"/>
                <w:b/>
                <w:bCs/>
                <w:color w:val="FFFFFF"/>
                <w:sz w:val="20"/>
                <w:szCs w:val="20"/>
              </w:rPr>
              <w:t xml:space="preserve">Etapa</w:t>
            </w:r>
          </w:p>
        </w:tc>
        <w:tc>
          <w:tcPr>
            <w:tcW w:type="dxa" w:w="5800"/>
            <w:shd w:fill="1C1F26" w:val="clear"/>
            <w:tcMar>
              <w:top w:type="dxa" w:w="100"/>
              <w:left w:type="dxa" w:w="150"/>
              <w:bottom w:type="dxa" w:w="100"/>
              <w:right w:type="dxa" w:w="150"/>
            </w:tcMar>
          </w:tcPr>
          <w:p>
            <w:r>
              <w:rPr>
                <w:rFonts w:ascii="Calibri" w:cs="Calibri" w:eastAsia="Calibri" w:hAnsi="Calibri"/>
                <w:b/>
                <w:bCs/>
                <w:color w:val="FFFFFF"/>
                <w:sz w:val="20"/>
                <w:szCs w:val="20"/>
              </w:rPr>
              <w:t xml:space="preserve">Objetivo</w:t>
            </w:r>
          </w:p>
        </w:tc>
      </w:tr>
      <w:tr>
        <w:tc>
          <w:tcPr>
            <w:tcW w:type="dxa" w:w="3400"/>
            <w:shd w:fill="FFFFFF" w:val="clear"/>
            <w:tcMar>
              <w:top w:type="dxa" w:w="100"/>
              <w:left w:type="dxa" w:w="150"/>
              <w:bottom w:type="dxa" w:w="100"/>
              <w:right w:type="dxa" w:w="150"/>
            </w:tcMar>
          </w:tcPr>
          <w:p>
            <w:r>
              <w:rPr>
                <w:rFonts w:ascii="Calibri" w:cs="Calibri" w:eastAsia="Calibri" w:hAnsi="Calibri"/>
                <w:b w:val="false"/>
                <w:bCs w:val="false"/>
                <w:color w:val="222222"/>
                <w:sz w:val="20"/>
                <w:szCs w:val="20"/>
              </w:rPr>
              <w:t xml:space="preserve">1. Difusión discreta</w:t>
            </w:r>
          </w:p>
        </w:tc>
        <w:tc>
          <w:tcPr>
            <w:tcW w:type="dxa" w:w="5800"/>
            <w:shd w:fill="FFFFFF" w:val="clear"/>
            <w:tcMar>
              <w:top w:type="dxa" w:w="100"/>
              <w:left w:type="dxa" w:w="150"/>
              <w:bottom w:type="dxa" w:w="100"/>
              <w:right w:type="dxa" w:w="150"/>
            </w:tcMar>
          </w:tcPr>
          <w:p>
            <w:r>
              <w:rPr>
                <w:rFonts w:ascii="Calibri" w:cs="Calibri" w:eastAsia="Calibri" w:hAnsi="Calibri"/>
                <w:b w:val="false"/>
                <w:bCs w:val="false"/>
                <w:color w:val="222222"/>
                <w:sz w:val="20"/>
                <w:szCs w:val="20"/>
              </w:rPr>
              <w:t xml:space="preserve">Generar interés calificado en Meta Ads sin exponer datos sensibles del activo.</w:t>
            </w:r>
          </w:p>
        </w:tc>
      </w:tr>
      <w:tr>
        <w:tc>
          <w:tcPr>
            <w:tcW w:type="dxa" w:w="3400"/>
            <w:shd w:fill="F4F3F1" w:val="clear"/>
            <w:tcMar>
              <w:top w:type="dxa" w:w="100"/>
              <w:left w:type="dxa" w:w="150"/>
              <w:bottom w:type="dxa" w:w="100"/>
              <w:right w:type="dxa" w:w="150"/>
            </w:tcMar>
          </w:tcPr>
          <w:p>
            <w:r>
              <w:rPr>
                <w:rFonts w:ascii="Calibri" w:cs="Calibri" w:eastAsia="Calibri" w:hAnsi="Calibri"/>
                <w:b w:val="false"/>
                <w:bCs w:val="false"/>
                <w:color w:val="222222"/>
                <w:sz w:val="20"/>
                <w:szCs w:val="20"/>
              </w:rPr>
              <w:t xml:space="preserve">2. Calificación con NDA</w:t>
            </w:r>
          </w:p>
        </w:tc>
        <w:tc>
          <w:tcPr>
            <w:tcW w:type="dxa" w:w="5800"/>
            <w:shd w:fill="F4F3F1" w:val="clear"/>
            <w:tcMar>
              <w:top w:type="dxa" w:w="100"/>
              <w:left w:type="dxa" w:w="150"/>
              <w:bottom w:type="dxa" w:w="100"/>
              <w:right w:type="dxa" w:w="150"/>
            </w:tcMar>
          </w:tcPr>
          <w:p>
            <w:r>
              <w:rPr>
                <w:rFonts w:ascii="Calibri" w:cs="Calibri" w:eastAsia="Calibri" w:hAnsi="Calibri"/>
                <w:b w:val="false"/>
                <w:bCs w:val="false"/>
                <w:color w:val="222222"/>
                <w:sz w:val="20"/>
                <w:szCs w:val="20"/>
              </w:rPr>
              <w:t xml:space="preserve">Filtrar curiosos: solo quien califica y firma NDA recibe el dossier completo.</w:t>
            </w:r>
          </w:p>
        </w:tc>
      </w:tr>
      <w:tr>
        <w:tc>
          <w:tcPr>
            <w:tcW w:type="dxa" w:w="3400"/>
            <w:shd w:fill="FFFFFF" w:val="clear"/>
            <w:tcMar>
              <w:top w:type="dxa" w:w="100"/>
              <w:left w:type="dxa" w:w="150"/>
              <w:bottom w:type="dxa" w:w="100"/>
              <w:right w:type="dxa" w:w="150"/>
            </w:tcMar>
          </w:tcPr>
          <w:p>
            <w:r>
              <w:rPr>
                <w:rFonts w:ascii="Calibri" w:cs="Calibri" w:eastAsia="Calibri" w:hAnsi="Calibri"/>
                <w:b w:val="false"/>
                <w:bCs w:val="false"/>
                <w:color w:val="222222"/>
                <w:sz w:val="20"/>
                <w:szCs w:val="20"/>
              </w:rPr>
              <w:t xml:space="preserve">3. Llamada de interés</w:t>
            </w:r>
          </w:p>
        </w:tc>
        <w:tc>
          <w:tcPr>
            <w:tcW w:type="dxa" w:w="5800"/>
            <w:shd w:fill="FFFFFF" w:val="clear"/>
            <w:tcMar>
              <w:top w:type="dxa" w:w="100"/>
              <w:left w:type="dxa" w:w="150"/>
              <w:bottom w:type="dxa" w:w="100"/>
              <w:right w:type="dxa" w:w="150"/>
            </w:tcMar>
          </w:tcPr>
          <w:p>
            <w:r>
              <w:rPr>
                <w:rFonts w:ascii="Calibri" w:cs="Calibri" w:eastAsia="Calibri" w:hAnsi="Calibri"/>
                <w:b w:val="false"/>
                <w:bCs w:val="false"/>
                <w:color w:val="222222"/>
                <w:sz w:val="20"/>
                <w:szCs w:val="20"/>
              </w:rPr>
              <w:t xml:space="preserve">Confirmar capacidad financiera real e interés serio antes de agendar visita.</w:t>
            </w:r>
          </w:p>
        </w:tc>
      </w:tr>
      <w:tr>
        <w:tc>
          <w:tcPr>
            <w:tcW w:type="dxa" w:w="3400"/>
            <w:shd w:fill="F4F3F1" w:val="clear"/>
            <w:tcMar>
              <w:top w:type="dxa" w:w="100"/>
              <w:left w:type="dxa" w:w="150"/>
              <w:bottom w:type="dxa" w:w="100"/>
              <w:right w:type="dxa" w:w="150"/>
            </w:tcMar>
          </w:tcPr>
          <w:p>
            <w:r>
              <w:rPr>
                <w:rFonts w:ascii="Calibri" w:cs="Calibri" w:eastAsia="Calibri" w:hAnsi="Calibri"/>
                <w:b w:val="false"/>
                <w:bCs w:val="false"/>
                <w:color w:val="222222"/>
                <w:sz w:val="20"/>
                <w:szCs w:val="20"/>
              </w:rPr>
              <w:t xml:space="preserve">4. Visita y negociación</w:t>
            </w:r>
          </w:p>
        </w:tc>
        <w:tc>
          <w:tcPr>
            <w:tcW w:type="dxa" w:w="5800"/>
            <w:shd w:fill="F4F3F1" w:val="clear"/>
            <w:tcMar>
              <w:top w:type="dxa" w:w="100"/>
              <w:left w:type="dxa" w:w="150"/>
              <w:bottom w:type="dxa" w:w="100"/>
              <w:right w:type="dxa" w:w="150"/>
            </w:tcMar>
          </w:tcPr>
          <w:p>
            <w:r>
              <w:rPr>
                <w:rFonts w:ascii="Calibri" w:cs="Calibri" w:eastAsia="Calibri" w:hAnsi="Calibri"/>
                <w:b w:val="false"/>
                <w:bCs w:val="false"/>
                <w:color w:val="222222"/>
                <w:sz w:val="20"/>
                <w:szCs w:val="20"/>
              </w:rPr>
              <w:t xml:space="preserve">Solo compradores calificados visitan el edificio; de ahí a negociación directa.</w:t>
            </w:r>
          </w:p>
        </w:tc>
      </w:tr>
    </w:tbl>
    <w:p>
      <w:r>
        <w:br w:type="page"/>
      </w:r>
    </w:p>
    <w:p>
      <w:pPr>
        <w:pStyle w:val="Heading1"/>
        <w:spacing w:after="200" w:before="400"/>
      </w:pPr>
      <w:r>
        <w:rPr>
          <w:rFonts w:ascii="Cambria" w:cs="Cambria" w:eastAsia="Cambria" w:hAnsi="Cambria"/>
          <w:b/>
          <w:bCs/>
          <w:color w:val="1C1F26"/>
          <w:sz w:val="30"/>
          <w:szCs w:val="30"/>
        </w:rPr>
        <w:t xml:space="preserve">6. Materiales necesarios</w:t>
      </w:r>
    </w:p>
    <w:p>
      <w:pPr>
        <w:pStyle w:val="Heading2"/>
        <w:spacing w:after="140" w:before="300"/>
      </w:pPr>
      <w:r>
        <w:rPr>
          <w:rFonts w:ascii="Calibri" w:cs="Calibri" w:eastAsia="Calibri" w:hAnsi="Calibri"/>
          <w:b/>
          <w:bCs/>
          <w:color w:val="B08D57"/>
          <w:sz w:val="24"/>
          <w:szCs w:val="24"/>
        </w:rPr>
        <w:t xml:space="preserve">6.1 Teaser (anuncios de Meta Ads)</w:t>
      </w:r>
    </w:p>
    <w:p>
      <w:pPr>
        <w:spacing w:after="140"/>
      </w:pPr>
      <w:r>
        <w:rPr>
          <w:rFonts w:ascii="Calibri" w:cs="Calibri" w:eastAsia="Calibri" w:hAnsi="Calibri"/>
          <w:color w:val="222222"/>
          <w:sz w:val="21"/>
          <w:szCs w:val="21"/>
        </w:rPr>
        <w:t xml:space="preserve">Qué SÍ puede incluir el teaser:</w:t>
      </w:r>
    </w:p>
    <w:p>
      <w:pPr>
        <w:pStyle w:val="ListParagraph"/>
        <w:numPr>
          <w:ilvl w:val="0"/>
          <w:numId w:val="2"/>
        </w:numPr>
        <w:spacing w:after="90"/>
      </w:pPr>
      <w:r>
        <w:rPr>
          <w:rFonts w:ascii="Calibri" w:cs="Calibri" w:eastAsia="Calibri" w:hAnsi="Calibri"/>
          <w:color w:val="222222"/>
          <w:sz w:val="21"/>
          <w:szCs w:val="21"/>
        </w:rPr>
        <w:t xml:space="preserve">Ciudad (Bogotá) — sin barrio ni dirección exacta</w:t>
      </w:r>
    </w:p>
    <w:p>
      <w:pPr>
        <w:pStyle w:val="ListParagraph"/>
        <w:numPr>
          <w:ilvl w:val="0"/>
          <w:numId w:val="2"/>
        </w:numPr>
        <w:spacing w:after="90"/>
      </w:pPr>
      <w:r>
        <w:rPr>
          <w:rFonts w:ascii="Calibri" w:cs="Calibri" w:eastAsia="Calibri" w:hAnsi="Calibri"/>
          <w:color w:val="222222"/>
          <w:sz w:val="21"/>
          <w:szCs w:val="21"/>
        </w:rPr>
        <w:t xml:space="preserve">Tipo de activo: edificio de renta corta en operación</w:t>
      </w:r>
    </w:p>
    <w:p>
      <w:pPr>
        <w:pStyle w:val="ListParagraph"/>
        <w:numPr>
          <w:ilvl w:val="0"/>
          <w:numId w:val="2"/>
        </w:numPr>
        <w:spacing w:after="90"/>
      </w:pPr>
      <w:r>
        <w:rPr>
          <w:rFonts w:ascii="Calibri" w:cs="Calibri" w:eastAsia="Calibri" w:hAnsi="Calibri"/>
          <w:color w:val="222222"/>
          <w:sz w:val="21"/>
          <w:szCs w:val="21"/>
        </w:rPr>
        <w:t xml:space="preserve">Facturación mensual en términos generales (“facturación mensual de 8 cifras”), sin el monto exacto</w:t>
      </w:r>
    </w:p>
    <w:p>
      <w:pPr>
        <w:pStyle w:val="ListParagraph"/>
        <w:numPr>
          <w:ilvl w:val="0"/>
          <w:numId w:val="2"/>
        </w:numPr>
        <w:spacing w:after="90"/>
      </w:pPr>
      <w:r>
        <w:rPr>
          <w:rFonts w:ascii="Calibri" w:cs="Calibri" w:eastAsia="Calibri" w:hAnsi="Calibri"/>
          <w:color w:val="222222"/>
          <w:sz w:val="21"/>
          <w:szCs w:val="21"/>
        </w:rPr>
        <w:t xml:space="preserve">Llamado a la acción: dejar datos para recibir información bajo confidencialidad</w:t>
      </w:r>
    </w:p>
    <w:p>
      <w:pPr>
        <w:spacing w:after="140"/>
      </w:pPr>
      <w:r>
        <w:rPr>
          <w:rFonts w:ascii="Calibri" w:cs="Calibri" w:eastAsia="Calibri" w:hAnsi="Calibri"/>
          <w:color w:val="222222"/>
          <w:sz w:val="21"/>
          <w:szCs w:val="21"/>
        </w:rPr>
        <w:t xml:space="preserve">Qué NO debe incluir el teaser:</w:t>
      </w:r>
    </w:p>
    <w:p>
      <w:pPr>
        <w:pStyle w:val="ListParagraph"/>
        <w:numPr>
          <w:ilvl w:val="0"/>
          <w:numId w:val="2"/>
        </w:numPr>
        <w:spacing w:after="90"/>
      </w:pPr>
      <w:r>
        <w:rPr>
          <w:rFonts w:ascii="Calibri" w:cs="Calibri" w:eastAsia="Calibri" w:hAnsi="Calibri"/>
          <w:color w:val="222222"/>
          <w:sz w:val="21"/>
          <w:szCs w:val="21"/>
        </w:rPr>
        <w:t xml:space="preserve">Dirección exacta ni fotos que permitan identificar el edificio</w:t>
      </w:r>
    </w:p>
    <w:p>
      <w:pPr>
        <w:pStyle w:val="ListParagraph"/>
        <w:numPr>
          <w:ilvl w:val="0"/>
          <w:numId w:val="2"/>
        </w:numPr>
        <w:spacing w:after="90"/>
      </w:pPr>
      <w:r>
        <w:rPr>
          <w:rFonts w:ascii="Calibri" w:cs="Calibri" w:eastAsia="Calibri" w:hAnsi="Calibri"/>
          <w:color w:val="222222"/>
          <w:sz w:val="21"/>
          <w:szCs w:val="21"/>
        </w:rPr>
        <w:t xml:space="preserve">Cifra exacta de facturación, valor de venta o estado financiero</w:t>
      </w:r>
    </w:p>
    <w:p>
      <w:pPr>
        <w:pStyle w:val="ListParagraph"/>
        <w:numPr>
          <w:ilvl w:val="0"/>
          <w:numId w:val="2"/>
        </w:numPr>
        <w:spacing w:after="90"/>
      </w:pPr>
      <w:r>
        <w:rPr>
          <w:rFonts w:ascii="Calibri" w:cs="Calibri" w:eastAsia="Calibri" w:hAnsi="Calibri"/>
          <w:color w:val="222222"/>
          <w:sz w:val="21"/>
          <w:szCs w:val="21"/>
        </w:rPr>
        <w:t xml:space="preserve">Cualquier mención a la hipoteca o al proceso de sucesión</w:t>
      </w:r>
    </w:p>
    <w:p>
      <w:pPr>
        <w:pStyle w:val="Heading2"/>
        <w:spacing w:after="140" w:before="300"/>
      </w:pPr>
      <w:r>
        <w:rPr>
          <w:rFonts w:ascii="Calibri" w:cs="Calibri" w:eastAsia="Calibri" w:hAnsi="Calibri"/>
          <w:b/>
          <w:bCs/>
          <w:color w:val="B08D57"/>
          <w:sz w:val="24"/>
          <w:szCs w:val="24"/>
        </w:rPr>
        <w:t xml:space="preserve">6.2 Landing de calificación</w:t>
      </w:r>
    </w:p>
    <w:p>
      <w:pPr>
        <w:spacing w:after="140"/>
      </w:pPr>
      <w:r>
        <w:rPr>
          <w:rFonts w:ascii="Calibri" w:cs="Calibri" w:eastAsia="Calibri" w:hAnsi="Calibri"/>
          <w:color w:val="222222"/>
          <w:sz w:val="21"/>
          <w:szCs w:val="21"/>
        </w:rPr>
        <w:t xml:space="preserve">Formulario que el interesado debe completar antes de continuar. Preguntas sugeridas:</w:t>
      </w:r>
    </w:p>
    <w:p>
      <w:pPr>
        <w:pStyle w:val="ListParagraph"/>
        <w:numPr>
          <w:ilvl w:val="0"/>
          <w:numId w:val="3"/>
        </w:numPr>
        <w:spacing w:after="90"/>
      </w:pPr>
      <w:r>
        <w:rPr>
          <w:rFonts w:ascii="Calibri" w:cs="Calibri" w:eastAsia="Calibri" w:hAnsi="Calibri"/>
          <w:color w:val="222222"/>
          <w:sz w:val="21"/>
          <w:szCs w:val="21"/>
        </w:rPr>
        <w:t xml:space="preserve">Nombre completo y datos de contacto (correo y teléfono).</w:t>
      </w:r>
    </w:p>
    <w:p>
      <w:pPr>
        <w:pStyle w:val="ListParagraph"/>
        <w:numPr>
          <w:ilvl w:val="0"/>
          <w:numId w:val="3"/>
        </w:numPr>
        <w:spacing w:after="90"/>
      </w:pPr>
      <w:r>
        <w:rPr>
          <w:rFonts w:ascii="Calibri" w:cs="Calibri" w:eastAsia="Calibri" w:hAnsi="Calibri"/>
          <w:color w:val="222222"/>
          <w:sz w:val="21"/>
          <w:szCs w:val="21"/>
        </w:rPr>
        <w:t xml:space="preserve">¿En calidad de qué participa? (persona natural, sociedad, fondo, representante de un tercero)</w:t>
      </w:r>
    </w:p>
    <w:p>
      <w:pPr>
        <w:pStyle w:val="ListParagraph"/>
        <w:numPr>
          <w:ilvl w:val="0"/>
          <w:numId w:val="3"/>
        </w:numPr>
        <w:spacing w:after="90"/>
      </w:pPr>
      <w:r>
        <w:rPr>
          <w:rFonts w:ascii="Calibri" w:cs="Calibri" w:eastAsia="Calibri" w:hAnsi="Calibri"/>
          <w:color w:val="222222"/>
          <w:sz w:val="21"/>
          <w:szCs w:val="21"/>
        </w:rPr>
        <w:t xml:space="preserve">¿Cuenta con capacidad de compra por el valor total del activo (aprox. $4.000 millones)?</w:t>
      </w:r>
    </w:p>
    <w:p>
      <w:pPr>
        <w:pStyle w:val="ListParagraph"/>
        <w:numPr>
          <w:ilvl w:val="0"/>
          <w:numId w:val="3"/>
        </w:numPr>
        <w:spacing w:after="90"/>
      </w:pPr>
      <w:r>
        <w:rPr>
          <w:rFonts w:ascii="Calibri" w:cs="Calibri" w:eastAsia="Calibri" w:hAnsi="Calibri"/>
          <w:color w:val="222222"/>
          <w:sz w:val="21"/>
          <w:szCs w:val="21"/>
        </w:rPr>
        <w:t xml:space="preserve">¿Cuál es su interés principal? (operar el activo, convertirlo a propiedad horizontal, inversión pasiva, otro)</w:t>
      </w:r>
    </w:p>
    <w:p>
      <w:pPr>
        <w:pStyle w:val="ListParagraph"/>
        <w:numPr>
          <w:ilvl w:val="0"/>
          <w:numId w:val="3"/>
        </w:numPr>
        <w:spacing w:after="90"/>
      </w:pPr>
      <w:r>
        <w:rPr>
          <w:rFonts w:ascii="Calibri" w:cs="Calibri" w:eastAsia="Calibri" w:hAnsi="Calibri"/>
          <w:color w:val="222222"/>
          <w:sz w:val="21"/>
          <w:szCs w:val="21"/>
        </w:rPr>
        <w:t xml:space="preserve">¿En qué plazo estaría en capacidad de cerrar una compra de este tipo?</w:t>
      </w:r>
    </w:p>
    <w:p>
      <w:pPr>
        <w:pStyle w:val="ListParagraph"/>
        <w:numPr>
          <w:ilvl w:val="0"/>
          <w:numId w:val="3"/>
        </w:numPr>
        <w:spacing w:after="90"/>
      </w:pPr>
      <w:r>
        <w:rPr>
          <w:rFonts w:ascii="Calibri" w:cs="Calibri" w:eastAsia="Calibri" w:hAnsi="Calibri"/>
          <w:color w:val="222222"/>
          <w:sz w:val="21"/>
          <w:szCs w:val="21"/>
        </w:rPr>
        <w:t xml:space="preserve">¿Cómo se enteró de esta oportunidad?</w:t>
      </w:r>
    </w:p>
    <w:p>
      <w:pPr>
        <w:pStyle w:val="Heading2"/>
        <w:spacing w:after="140" w:before="300"/>
      </w:pPr>
      <w:r>
        <w:rPr>
          <w:rFonts w:ascii="Calibri" w:cs="Calibri" w:eastAsia="Calibri" w:hAnsi="Calibri"/>
          <w:b/>
          <w:bCs/>
          <w:color w:val="B08D57"/>
          <w:sz w:val="24"/>
          <w:szCs w:val="24"/>
        </w:rPr>
        <w:t xml:space="preserve">6.3 NDA (acuerdo de confidencialidad)</w:t>
      </w:r>
    </w:p>
    <w:p>
      <w:pPr>
        <w:spacing w:after="140"/>
      </w:pPr>
      <w:r>
        <w:rPr>
          <w:rFonts w:ascii="Calibri" w:cs="Calibri" w:eastAsia="Calibri" w:hAnsi="Calibri"/>
          <w:color w:val="222222"/>
          <w:sz w:val="21"/>
          <w:szCs w:val="21"/>
        </w:rPr>
        <w:t xml:space="preserve">Documento digital que el interesado firma antes de recibir el dossier. Debe cubrir, como mínimo:</w:t>
      </w:r>
    </w:p>
    <w:p>
      <w:pPr>
        <w:pStyle w:val="ListParagraph"/>
        <w:numPr>
          <w:ilvl w:val="0"/>
          <w:numId w:val="2"/>
        </w:numPr>
        <w:spacing w:after="90"/>
      </w:pPr>
      <w:r>
        <w:rPr>
          <w:rFonts w:ascii="Calibri" w:cs="Calibri" w:eastAsia="Calibri" w:hAnsi="Calibri"/>
          <w:color w:val="222222"/>
          <w:sz w:val="21"/>
          <w:szCs w:val="21"/>
        </w:rPr>
        <w:t xml:space="preserve">Confidencialidad sobre la dirección, identidad de los propietarios y cifras financieras</w:t>
      </w:r>
    </w:p>
    <w:p>
      <w:pPr>
        <w:pStyle w:val="ListParagraph"/>
        <w:numPr>
          <w:ilvl w:val="0"/>
          <w:numId w:val="2"/>
        </w:numPr>
        <w:spacing w:after="90"/>
      </w:pPr>
      <w:r>
        <w:rPr>
          <w:rFonts w:ascii="Calibri" w:cs="Calibri" w:eastAsia="Calibri" w:hAnsi="Calibri"/>
          <w:color w:val="222222"/>
          <w:sz w:val="21"/>
          <w:szCs w:val="21"/>
        </w:rPr>
        <w:t xml:space="preserve">Prohibición de contactar directamente a los propietarios, inquilinos o la operación sin pasar por el proceso definido</w:t>
      </w:r>
    </w:p>
    <w:p>
      <w:pPr>
        <w:pStyle w:val="ListParagraph"/>
        <w:numPr>
          <w:ilvl w:val="0"/>
          <w:numId w:val="2"/>
        </w:numPr>
        <w:spacing w:after="90"/>
      </w:pPr>
      <w:r>
        <w:rPr>
          <w:rFonts w:ascii="Calibri" w:cs="Calibri" w:eastAsia="Calibri" w:hAnsi="Calibri"/>
          <w:color w:val="222222"/>
          <w:sz w:val="21"/>
          <w:szCs w:val="21"/>
        </w:rPr>
        <w:t xml:space="preserve">Vigencia del acuerdo y consecuencias de incumplimiento</w:t>
      </w:r>
    </w:p>
    <w:p>
      <w:pPr>
        <w:spacing w:after="140"/>
      </w:pPr>
      <w:r>
        <w:rPr>
          <w:rFonts w:ascii="Calibri" w:cs="Calibri" w:eastAsia="Calibri" w:hAnsi="Calibri"/>
          <w:color w:val="222222"/>
          <w:sz w:val="21"/>
          <w:szCs w:val="21"/>
        </w:rPr>
        <w:t xml:space="preserve">Se recomienda que este documento sea preparado o revisado por el abogado de los propietarios.</w:t>
      </w:r>
    </w:p>
    <w:p>
      <w:pPr>
        <w:pStyle w:val="Heading2"/>
        <w:spacing w:after="140" w:before="300"/>
      </w:pPr>
      <w:r>
        <w:rPr>
          <w:rFonts w:ascii="Calibri" w:cs="Calibri" w:eastAsia="Calibri" w:hAnsi="Calibri"/>
          <w:b/>
          <w:bCs/>
          <w:color w:val="B08D57"/>
          <w:sz w:val="24"/>
          <w:szCs w:val="24"/>
        </w:rPr>
        <w:t xml:space="preserve">6.4 Dossier confidencial</w:t>
      </w:r>
    </w:p>
    <w:p>
      <w:pPr>
        <w:spacing w:after="140"/>
      </w:pPr>
      <w:r>
        <w:rPr>
          <w:rFonts w:ascii="Calibri" w:cs="Calibri" w:eastAsia="Calibri" w:hAnsi="Calibri"/>
          <w:color w:val="222222"/>
          <w:sz w:val="21"/>
          <w:szCs w:val="21"/>
        </w:rPr>
        <w:t xml:space="preserve">Se entrega únicamente después de la firma del NDA. Debe incluir:</w:t>
      </w:r>
    </w:p>
    <w:p>
      <w:pPr>
        <w:pStyle w:val="ListParagraph"/>
        <w:numPr>
          <w:ilvl w:val="0"/>
          <w:numId w:val="2"/>
        </w:numPr>
        <w:spacing w:after="90"/>
      </w:pPr>
      <w:r>
        <w:rPr>
          <w:rFonts w:ascii="Calibri" w:cs="Calibri" w:eastAsia="Calibri" w:hAnsi="Calibri"/>
          <w:color w:val="222222"/>
          <w:sz w:val="21"/>
          <w:szCs w:val="21"/>
        </w:rPr>
        <w:t xml:space="preserve">Dirección exacta y fotografías del edificio</w:t>
      </w:r>
    </w:p>
    <w:p>
      <w:pPr>
        <w:pStyle w:val="ListParagraph"/>
        <w:numPr>
          <w:ilvl w:val="0"/>
          <w:numId w:val="2"/>
        </w:numPr>
        <w:spacing w:after="90"/>
      </w:pPr>
      <w:r>
        <w:rPr>
          <w:rFonts w:ascii="Calibri" w:cs="Calibri" w:eastAsia="Calibri" w:hAnsi="Calibri"/>
          <w:color w:val="222222"/>
          <w:sz w:val="21"/>
          <w:szCs w:val="21"/>
        </w:rPr>
        <w:t xml:space="preserve">Estados financieros de la operación (facturación bruta, ocupación, ingresos por unidad)</w:t>
      </w:r>
    </w:p>
    <w:p>
      <w:pPr>
        <w:pStyle w:val="ListParagraph"/>
        <w:numPr>
          <w:ilvl w:val="0"/>
          <w:numId w:val="2"/>
        </w:numPr>
        <w:spacing w:after="90"/>
      </w:pPr>
      <w:r>
        <w:rPr>
          <w:rFonts w:ascii="Calibri" w:cs="Calibri" w:eastAsia="Calibri" w:hAnsi="Calibri"/>
          <w:color w:val="222222"/>
          <w:sz w:val="21"/>
          <w:szCs w:val="21"/>
        </w:rPr>
        <w:t xml:space="preserve">Situación legal de la sociedad (incluyendo hipoteca y proceso de sucesión, explicados con claridad)</w:t>
      </w:r>
    </w:p>
    <w:p>
      <w:pPr>
        <w:pStyle w:val="ListParagraph"/>
        <w:numPr>
          <w:ilvl w:val="0"/>
          <w:numId w:val="2"/>
        </w:numPr>
        <w:spacing w:after="90"/>
      </w:pPr>
      <w:r>
        <w:rPr>
          <w:rFonts w:ascii="Calibri" w:cs="Calibri" w:eastAsia="Calibri" w:hAnsi="Calibri"/>
          <w:color w:val="222222"/>
          <w:sz w:val="21"/>
          <w:szCs w:val="21"/>
        </w:rPr>
        <w:t xml:space="preserve">Condiciones de venta esperadas (precio, forma de pago, plazos)</w:t>
      </w:r>
    </w:p>
    <w:p>
      <w:pPr>
        <w:pBdr>
          <w:bottom w:val="single" w:color="D9D6CF" w:sz="6"/>
        </w:pBdr>
        <w:spacing w:after="200" w:before="100"/>
      </w:pPr>
    </w:p>
    <w:p>
      <w:pPr>
        <w:pStyle w:val="Heading1"/>
        <w:spacing w:after="200" w:before="400"/>
      </w:pPr>
      <w:r>
        <w:rPr>
          <w:rFonts w:ascii="Cambria" w:cs="Cambria" w:eastAsia="Cambria" w:hAnsi="Cambria"/>
          <w:b/>
          <w:bCs/>
          <w:color w:val="1C1F26"/>
          <w:sz w:val="30"/>
          <w:szCs w:val="30"/>
        </w:rPr>
        <w:t xml:space="preserve">7. Guion de la llamada de interés</w:t>
      </w:r>
    </w:p>
    <w:p>
      <w:pPr>
        <w:spacing w:after="140"/>
      </w:pPr>
      <w:r>
        <w:rPr>
          <w:rFonts w:ascii="Calibri" w:cs="Calibri" w:eastAsia="Calibri" w:hAnsi="Calibri"/>
          <w:color w:val="222222"/>
          <w:sz w:val="21"/>
          <w:szCs w:val="21"/>
        </w:rPr>
        <w:t xml:space="preserve">Objetivo de la llamada: confirmar en menos de 15 minutos que el interesado tiene capacidad e interés real, antes de invertir tiempo en agendar una visita presencial.</w:t>
      </w:r>
    </w:p>
    <w:p>
      <w:pPr>
        <w:pStyle w:val="Heading2"/>
        <w:spacing w:after="140" w:before="300"/>
      </w:pPr>
      <w:r>
        <w:rPr>
          <w:rFonts w:ascii="Calibri" w:cs="Calibri" w:eastAsia="Calibri" w:hAnsi="Calibri"/>
          <w:b/>
          <w:bCs/>
          <w:color w:val="B08D57"/>
          <w:sz w:val="24"/>
          <w:szCs w:val="24"/>
        </w:rPr>
        <w:t xml:space="preserve">Preguntas clave</w:t>
      </w:r>
    </w:p>
    <w:p>
      <w:pPr>
        <w:pStyle w:val="ListParagraph"/>
        <w:numPr>
          <w:ilvl w:val="0"/>
          <w:numId w:val="4"/>
        </w:numPr>
        <w:spacing w:after="90"/>
      </w:pPr>
      <w:r>
        <w:rPr>
          <w:rFonts w:ascii="Calibri" w:cs="Calibri" w:eastAsia="Calibri" w:hAnsi="Calibri"/>
          <w:color w:val="222222"/>
          <w:sz w:val="21"/>
          <w:szCs w:val="21"/>
        </w:rPr>
        <w:t xml:space="preserve">¿Nos puede confirmar en qué calidad estaría comprando: a nombre propio, de una sociedad, o de un fondo?</w:t>
      </w:r>
    </w:p>
    <w:p>
      <w:pPr>
        <w:pStyle w:val="ListParagraph"/>
        <w:numPr>
          <w:ilvl w:val="0"/>
          <w:numId w:val="4"/>
        </w:numPr>
        <w:spacing w:after="90"/>
      </w:pPr>
      <w:r>
        <w:rPr>
          <w:rFonts w:ascii="Calibri" w:cs="Calibri" w:eastAsia="Calibri" w:hAnsi="Calibri"/>
          <w:color w:val="222222"/>
          <w:sz w:val="21"/>
          <w:szCs w:val="21"/>
        </w:rPr>
        <w:t xml:space="preserve">¿Cuenta hoy con los recursos o el respaldo financiero para una compra de este tamaño, o dependería de una gestión de crédito o de socios adicionales?</w:t>
      </w:r>
    </w:p>
    <w:p>
      <w:pPr>
        <w:pStyle w:val="ListParagraph"/>
        <w:numPr>
          <w:ilvl w:val="0"/>
          <w:numId w:val="4"/>
        </w:numPr>
        <w:spacing w:after="90"/>
      </w:pPr>
      <w:r>
        <w:rPr>
          <w:rFonts w:ascii="Calibri" w:cs="Calibri" w:eastAsia="Calibri" w:hAnsi="Calibri"/>
          <w:color w:val="222222"/>
          <w:sz w:val="21"/>
          <w:szCs w:val="21"/>
        </w:rPr>
        <w:t xml:space="preserve">¿Qué le interesa hacer con el activo: continuar la operación de renta corta, convertirlo a propiedad horizontal, u otro uso?</w:t>
      </w:r>
    </w:p>
    <w:p>
      <w:pPr>
        <w:pStyle w:val="ListParagraph"/>
        <w:numPr>
          <w:ilvl w:val="0"/>
          <w:numId w:val="4"/>
        </w:numPr>
        <w:spacing w:after="90"/>
      </w:pPr>
      <w:r>
        <w:rPr>
          <w:rFonts w:ascii="Calibri" w:cs="Calibri" w:eastAsia="Calibri" w:hAnsi="Calibri"/>
          <w:color w:val="222222"/>
          <w:sz w:val="21"/>
          <w:szCs w:val="21"/>
        </w:rPr>
        <w:t xml:space="preserve">¿En qué plazo le gustaría avanzar, en caso de que la visita y la información confirmen su interés?</w:t>
      </w:r>
    </w:p>
    <w:p>
      <w:pPr>
        <w:pStyle w:val="ListParagraph"/>
        <w:numPr>
          <w:ilvl w:val="0"/>
          <w:numId w:val="4"/>
        </w:numPr>
        <w:spacing w:after="90"/>
      </w:pPr>
      <w:r>
        <w:rPr>
          <w:rFonts w:ascii="Calibri" w:cs="Calibri" w:eastAsia="Calibri" w:hAnsi="Calibri"/>
          <w:color w:val="222222"/>
          <w:sz w:val="21"/>
          <w:szCs w:val="21"/>
        </w:rPr>
        <w:t xml:space="preserve">¿Tiene alguna pregunta antes de agendar la visita?</w:t>
      </w:r>
    </w:p>
    <w:p>
      <w:pPr>
        <w:pStyle w:val="Heading2"/>
        <w:spacing w:after="140" w:before="300"/>
      </w:pPr>
      <w:r>
        <w:rPr>
          <w:rFonts w:ascii="Calibri" w:cs="Calibri" w:eastAsia="Calibri" w:hAnsi="Calibri"/>
          <w:b/>
          <w:bCs/>
          <w:color w:val="B08D57"/>
          <w:sz w:val="24"/>
          <w:szCs w:val="24"/>
        </w:rPr>
        <w:t xml:space="preserve">Señales de alerta (no agendar visita todavía)</w:t>
      </w:r>
    </w:p>
    <w:p>
      <w:pPr>
        <w:pStyle w:val="ListParagraph"/>
        <w:numPr>
          <w:ilvl w:val="0"/>
          <w:numId w:val="2"/>
        </w:numPr>
        <w:spacing w:after="90"/>
      </w:pPr>
      <w:r>
        <w:rPr>
          <w:rFonts w:ascii="Calibri" w:cs="Calibri" w:eastAsia="Calibri" w:hAnsi="Calibri"/>
          <w:color w:val="222222"/>
          <w:sz w:val="21"/>
          <w:szCs w:val="21"/>
        </w:rPr>
        <w:t xml:space="preserve">Evade responder sobre capacidad financiera o respaldo real</w:t>
      </w:r>
    </w:p>
    <w:p>
      <w:pPr>
        <w:pStyle w:val="ListParagraph"/>
        <w:numPr>
          <w:ilvl w:val="0"/>
          <w:numId w:val="2"/>
        </w:numPr>
        <w:spacing w:after="90"/>
      </w:pPr>
      <w:r>
        <w:rPr>
          <w:rFonts w:ascii="Calibri" w:cs="Calibri" w:eastAsia="Calibri" w:hAnsi="Calibri"/>
          <w:color w:val="222222"/>
          <w:sz w:val="21"/>
          <w:szCs w:val="21"/>
        </w:rPr>
        <w:t xml:space="preserve">Solo busca información general, sin intención concreta de avanzar</w:t>
      </w:r>
    </w:p>
    <w:p>
      <w:pPr>
        <w:pStyle w:val="ListParagraph"/>
        <w:numPr>
          <w:ilvl w:val="0"/>
          <w:numId w:val="2"/>
        </w:numPr>
        <w:spacing w:after="90"/>
      </w:pPr>
      <w:r>
        <w:rPr>
          <w:rFonts w:ascii="Calibri" w:cs="Calibri" w:eastAsia="Calibri" w:hAnsi="Calibri"/>
          <w:color w:val="222222"/>
          <w:sz w:val="21"/>
          <w:szCs w:val="21"/>
        </w:rPr>
        <w:t xml:space="preserve">Pide la dirección exacta o contacto directo con los propietarios antes de completar el proceso</w:t>
      </w:r>
    </w:p>
    <w:p>
      <w:pPr>
        <w:pStyle w:val="ListParagraph"/>
        <w:numPr>
          <w:ilvl w:val="0"/>
          <w:numId w:val="2"/>
        </w:numPr>
        <w:spacing w:after="90"/>
      </w:pPr>
      <w:r>
        <w:rPr>
          <w:rFonts w:ascii="Calibri" w:cs="Calibri" w:eastAsia="Calibri" w:hAnsi="Calibri"/>
          <w:color w:val="222222"/>
          <w:sz w:val="21"/>
          <w:szCs w:val="21"/>
        </w:rPr>
        <w:t xml:space="preserve">Presiona por descuentos o condiciones antes de conocer el activo</w:t>
      </w:r>
    </w:p>
    <w:p>
      <w:pPr>
        <w:pBdr>
          <w:bottom w:val="single" w:color="D9D6CF" w:sz="6"/>
        </w:pBdr>
        <w:spacing w:after="200" w:before="100"/>
      </w:pPr>
    </w:p>
    <w:p>
      <w:pPr>
        <w:pStyle w:val="Heading1"/>
        <w:spacing w:after="200" w:before="400"/>
      </w:pPr>
      <w:r>
        <w:rPr>
          <w:rFonts w:ascii="Cambria" w:cs="Cambria" w:eastAsia="Cambria" w:hAnsi="Cambria"/>
          <w:b/>
          <w:bCs/>
          <w:color w:val="1C1F26"/>
          <w:sz w:val="30"/>
          <w:szCs w:val="30"/>
        </w:rPr>
        <w:t xml:space="preserve">8. Protocolo de visita presencial</w:t>
      </w:r>
    </w:p>
    <w:p>
      <w:pPr>
        <w:pStyle w:val="ListParagraph"/>
        <w:numPr>
          <w:ilvl w:val="0"/>
          <w:numId w:val="2"/>
        </w:numPr>
        <w:spacing w:after="90"/>
      </w:pPr>
      <w:r>
        <w:rPr>
          <w:rFonts w:ascii="Calibri" w:cs="Calibri" w:eastAsia="Calibri" w:hAnsi="Calibri"/>
          <w:color w:val="222222"/>
          <w:sz w:val="21"/>
          <w:szCs w:val="21"/>
        </w:rPr>
        <w:t xml:space="preserve">Solo se agenda visita a quien pasó la llamada de interés.</w:t>
      </w:r>
    </w:p>
    <w:p>
      <w:pPr>
        <w:pStyle w:val="ListParagraph"/>
        <w:numPr>
          <w:ilvl w:val="0"/>
          <w:numId w:val="2"/>
        </w:numPr>
        <w:spacing w:after="90"/>
      </w:pPr>
      <w:r>
        <w:rPr>
          <w:rFonts w:ascii="Calibri" w:cs="Calibri" w:eastAsia="Calibri" w:hAnsi="Calibri"/>
          <w:color w:val="222222"/>
          <w:sz w:val="21"/>
          <w:szCs w:val="21"/>
        </w:rPr>
        <w:t xml:space="preserve">La visita se coordina con los propietarios con al menos 48 horas de anticipación.</w:t>
      </w:r>
    </w:p>
    <w:p>
      <w:pPr>
        <w:pStyle w:val="ListParagraph"/>
        <w:numPr>
          <w:ilvl w:val="0"/>
          <w:numId w:val="2"/>
        </w:numPr>
        <w:spacing w:after="90"/>
      </w:pPr>
      <w:r>
        <w:rPr>
          <w:rFonts w:ascii="Calibri" w:cs="Calibri" w:eastAsia="Calibri" w:hAnsi="Calibri"/>
          <w:color w:val="222222"/>
          <w:sz w:val="21"/>
          <w:szCs w:val="21"/>
        </w:rPr>
        <w:t xml:space="preserve">Se acompaña al interesado durante todo el recorrido; no se le deja acceso libre al edificio.</w:t>
      </w:r>
    </w:p>
    <w:p>
      <w:pPr>
        <w:pStyle w:val="ListParagraph"/>
        <w:numPr>
          <w:ilvl w:val="0"/>
          <w:numId w:val="2"/>
        </w:numPr>
        <w:spacing w:after="90"/>
      </w:pPr>
      <w:r>
        <w:rPr>
          <w:rFonts w:ascii="Calibri" w:cs="Calibri" w:eastAsia="Calibri" w:hAnsi="Calibri"/>
          <w:color w:val="222222"/>
          <w:sz w:val="21"/>
          <w:szCs w:val="21"/>
        </w:rPr>
        <w:t xml:space="preserve">Al finalizar, se pregunta directamente por el nivel de interés y los siguientes pasos que espera el interesado.</w:t>
      </w:r>
    </w:p>
    <w:p>
      <w:pPr>
        <w:pStyle w:val="ListParagraph"/>
        <w:numPr>
          <w:ilvl w:val="0"/>
          <w:numId w:val="2"/>
        </w:numPr>
        <w:spacing w:after="90"/>
      </w:pPr>
      <w:r>
        <w:rPr>
          <w:rFonts w:ascii="Calibri" w:cs="Calibri" w:eastAsia="Calibri" w:hAnsi="Calibri"/>
          <w:color w:val="222222"/>
          <w:sz w:val="21"/>
          <w:szCs w:val="21"/>
        </w:rPr>
        <w:t xml:space="preserve">Toda visita se registra (fecha, interesado, nivel de interés observado) para dar seguimiento.</w:t>
      </w:r>
    </w:p>
    <w:p>
      <w:pPr>
        <w:pBdr>
          <w:bottom w:val="single" w:color="D9D6CF" w:sz="6"/>
        </w:pBdr>
        <w:spacing w:after="200" w:before="100"/>
      </w:pPr>
    </w:p>
    <w:p>
      <w:pPr>
        <w:pStyle w:val="Heading1"/>
        <w:spacing w:after="200" w:before="400"/>
      </w:pPr>
      <w:r>
        <w:rPr>
          <w:rFonts w:ascii="Cambria" w:cs="Cambria" w:eastAsia="Cambria" w:hAnsi="Cambria"/>
          <w:b/>
          <w:bCs/>
          <w:color w:val="1C1F26"/>
          <w:sz w:val="30"/>
          <w:szCs w:val="30"/>
        </w:rPr>
        <w:t xml:space="preserve">9. Cronograma semana a semana (12 semanas)</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1800"/>
        <w:gridCol w:w="7400"/>
      </w:tblGrid>
      <w:tr>
        <w:tc>
          <w:tcPr>
            <w:tcW w:type="dxa" w:w="1800"/>
            <w:shd w:fill="1C1F26" w:val="clear"/>
            <w:tcMar>
              <w:top w:type="dxa" w:w="100"/>
              <w:left w:type="dxa" w:w="150"/>
              <w:bottom w:type="dxa" w:w="100"/>
              <w:right w:type="dxa" w:w="150"/>
            </w:tcMar>
          </w:tcPr>
          <w:p>
            <w:r>
              <w:rPr>
                <w:rFonts w:ascii="Calibri" w:cs="Calibri" w:eastAsia="Calibri" w:hAnsi="Calibri"/>
                <w:b/>
                <w:bCs/>
                <w:color w:val="FFFFFF"/>
                <w:sz w:val="20"/>
                <w:szCs w:val="20"/>
              </w:rPr>
              <w:t xml:space="preserve">Semana</w:t>
            </w:r>
          </w:p>
        </w:tc>
        <w:tc>
          <w:tcPr>
            <w:tcW w:type="dxa" w:w="7400"/>
            <w:shd w:fill="1C1F26" w:val="clear"/>
            <w:tcMar>
              <w:top w:type="dxa" w:w="100"/>
              <w:left w:type="dxa" w:w="150"/>
              <w:bottom w:type="dxa" w:w="100"/>
              <w:right w:type="dxa" w:w="150"/>
            </w:tcMar>
          </w:tcPr>
          <w:p>
            <w:r>
              <w:rPr>
                <w:rFonts w:ascii="Calibri" w:cs="Calibri" w:eastAsia="Calibri" w:hAnsi="Calibri"/>
                <w:b/>
                <w:bCs/>
                <w:color w:val="FFFFFF"/>
                <w:sz w:val="20"/>
                <w:szCs w:val="20"/>
              </w:rPr>
              <w:t xml:space="preserve">Actividad</w:t>
            </w:r>
          </w:p>
        </w:tc>
      </w:tr>
      <w:tr>
        <w:tc>
          <w:tcPr>
            <w:tcW w:type="dxa" w:w="1800"/>
            <w:shd w:fill="FFFFFF" w:val="clear"/>
            <w:tcMar>
              <w:top w:type="dxa" w:w="100"/>
              <w:left w:type="dxa" w:w="150"/>
              <w:bottom w:type="dxa" w:w="100"/>
              <w:right w:type="dxa" w:w="150"/>
            </w:tcMar>
          </w:tcPr>
          <w:p>
            <w:r>
              <w:rPr>
                <w:rFonts w:ascii="Calibri" w:cs="Calibri" w:eastAsia="Calibri" w:hAnsi="Calibri"/>
                <w:b w:val="false"/>
                <w:bCs w:val="false"/>
                <w:color w:val="222222"/>
                <w:sz w:val="20"/>
                <w:szCs w:val="20"/>
              </w:rPr>
              <w:t xml:space="preserve">1-2</w:t>
            </w:r>
          </w:p>
        </w:tc>
        <w:tc>
          <w:tcPr>
            <w:tcW w:type="dxa" w:w="7400"/>
            <w:shd w:fill="FFFFFF" w:val="clear"/>
            <w:tcMar>
              <w:top w:type="dxa" w:w="100"/>
              <w:left w:type="dxa" w:w="150"/>
              <w:bottom w:type="dxa" w:w="100"/>
              <w:right w:type="dxa" w:w="150"/>
            </w:tcMar>
          </w:tcPr>
          <w:p>
            <w:r>
              <w:rPr>
                <w:rFonts w:ascii="Calibri" w:cs="Calibri" w:eastAsia="Calibri" w:hAnsi="Calibri"/>
                <w:b w:val="false"/>
                <w:bCs w:val="false"/>
                <w:color w:val="222222"/>
                <w:sz w:val="20"/>
                <w:szCs w:val="20"/>
              </w:rPr>
              <w:t xml:space="preserve">Preparación de materiales (teaser, landing, NDA, dossier) y auditoría legal en paralelo</w:t>
            </w:r>
          </w:p>
        </w:tc>
      </w:tr>
      <w:tr>
        <w:tc>
          <w:tcPr>
            <w:tcW w:type="dxa" w:w="1800"/>
            <w:shd w:fill="F4F3F1" w:val="clear"/>
            <w:tcMar>
              <w:top w:type="dxa" w:w="100"/>
              <w:left w:type="dxa" w:w="150"/>
              <w:bottom w:type="dxa" w:w="100"/>
              <w:right w:type="dxa" w:w="150"/>
            </w:tcMar>
          </w:tcPr>
          <w:p>
            <w:r>
              <w:rPr>
                <w:rFonts w:ascii="Calibri" w:cs="Calibri" w:eastAsia="Calibri" w:hAnsi="Calibri"/>
                <w:b w:val="false"/>
                <w:bCs w:val="false"/>
                <w:color w:val="222222"/>
                <w:sz w:val="20"/>
                <w:szCs w:val="20"/>
              </w:rPr>
              <w:t xml:space="preserve">3-4</w:t>
            </w:r>
          </w:p>
        </w:tc>
        <w:tc>
          <w:tcPr>
            <w:tcW w:type="dxa" w:w="7400"/>
            <w:shd w:fill="F4F3F1" w:val="clear"/>
            <w:tcMar>
              <w:top w:type="dxa" w:w="100"/>
              <w:left w:type="dxa" w:w="150"/>
              <w:bottom w:type="dxa" w:w="100"/>
              <w:right w:type="dxa" w:w="150"/>
            </w:tcMar>
          </w:tcPr>
          <w:p>
            <w:r>
              <w:rPr>
                <w:rFonts w:ascii="Calibri" w:cs="Calibri" w:eastAsia="Calibri" w:hAnsi="Calibri"/>
                <w:b w:val="false"/>
                <w:bCs w:val="false"/>
                <w:color w:val="222222"/>
                <w:sz w:val="20"/>
                <w:szCs w:val="20"/>
              </w:rPr>
              <w:t xml:space="preserve">Lanzamiento de la campaña de difusión discreta en Meta Ads</w:t>
            </w:r>
          </w:p>
        </w:tc>
      </w:tr>
      <w:tr>
        <w:tc>
          <w:tcPr>
            <w:tcW w:type="dxa" w:w="1800"/>
            <w:shd w:fill="FFFFFF" w:val="clear"/>
            <w:tcMar>
              <w:top w:type="dxa" w:w="100"/>
              <w:left w:type="dxa" w:w="150"/>
              <w:bottom w:type="dxa" w:w="100"/>
              <w:right w:type="dxa" w:w="150"/>
            </w:tcMar>
          </w:tcPr>
          <w:p>
            <w:r>
              <w:rPr>
                <w:rFonts w:ascii="Calibri" w:cs="Calibri" w:eastAsia="Calibri" w:hAnsi="Calibri"/>
                <w:b w:val="false"/>
                <w:bCs w:val="false"/>
                <w:color w:val="222222"/>
                <w:sz w:val="20"/>
                <w:szCs w:val="20"/>
              </w:rPr>
              <w:t xml:space="preserve">5-6</w:t>
            </w:r>
          </w:p>
        </w:tc>
        <w:tc>
          <w:tcPr>
            <w:tcW w:type="dxa" w:w="7400"/>
            <w:shd w:fill="FFFFFF" w:val="clear"/>
            <w:tcMar>
              <w:top w:type="dxa" w:w="100"/>
              <w:left w:type="dxa" w:w="150"/>
              <w:bottom w:type="dxa" w:w="100"/>
              <w:right w:type="dxa" w:w="150"/>
            </w:tcMar>
          </w:tcPr>
          <w:p>
            <w:r>
              <w:rPr>
                <w:rFonts w:ascii="Calibri" w:cs="Calibri" w:eastAsia="Calibri" w:hAnsi="Calibri"/>
                <w:b w:val="false"/>
                <w:bCs w:val="false"/>
                <w:color w:val="222222"/>
                <w:sz w:val="20"/>
                <w:szCs w:val="20"/>
              </w:rPr>
              <w:t xml:space="preserve">Primeras calificaciones y llamadas de interés</w:t>
            </w:r>
          </w:p>
        </w:tc>
      </w:tr>
      <w:tr>
        <w:tc>
          <w:tcPr>
            <w:tcW w:type="dxa" w:w="1800"/>
            <w:shd w:fill="F4F3F1" w:val="clear"/>
            <w:tcMar>
              <w:top w:type="dxa" w:w="100"/>
              <w:left w:type="dxa" w:w="150"/>
              <w:bottom w:type="dxa" w:w="100"/>
              <w:right w:type="dxa" w:w="150"/>
            </w:tcMar>
          </w:tcPr>
          <w:p>
            <w:r>
              <w:rPr>
                <w:rFonts w:ascii="Calibri" w:cs="Calibri" w:eastAsia="Calibri" w:hAnsi="Calibri"/>
                <w:b w:val="false"/>
                <w:bCs w:val="false"/>
                <w:color w:val="222222"/>
                <w:sz w:val="20"/>
                <w:szCs w:val="20"/>
              </w:rPr>
              <w:t xml:space="preserve">7-8</w:t>
            </w:r>
          </w:p>
        </w:tc>
        <w:tc>
          <w:tcPr>
            <w:tcW w:type="dxa" w:w="7400"/>
            <w:shd w:fill="F4F3F1" w:val="clear"/>
            <w:tcMar>
              <w:top w:type="dxa" w:w="100"/>
              <w:left w:type="dxa" w:w="150"/>
              <w:bottom w:type="dxa" w:w="100"/>
              <w:right w:type="dxa" w:w="150"/>
            </w:tcMar>
          </w:tcPr>
          <w:p>
            <w:r>
              <w:rPr>
                <w:rFonts w:ascii="Calibri" w:cs="Calibri" w:eastAsia="Calibri" w:hAnsi="Calibri"/>
                <w:b w:val="false"/>
                <w:bCs w:val="false"/>
                <w:color w:val="222222"/>
                <w:sz w:val="20"/>
                <w:szCs w:val="20"/>
              </w:rPr>
              <w:t xml:space="preserve">Primeras visitas presenciales al edificio</w:t>
            </w:r>
          </w:p>
        </w:tc>
      </w:tr>
      <w:tr>
        <w:tc>
          <w:tcPr>
            <w:tcW w:type="dxa" w:w="1800"/>
            <w:shd w:fill="FFFFFF" w:val="clear"/>
            <w:tcMar>
              <w:top w:type="dxa" w:w="100"/>
              <w:left w:type="dxa" w:w="150"/>
              <w:bottom w:type="dxa" w:w="100"/>
              <w:right w:type="dxa" w:w="150"/>
            </w:tcMar>
          </w:tcPr>
          <w:p>
            <w:r>
              <w:rPr>
                <w:rFonts w:ascii="Calibri" w:cs="Calibri" w:eastAsia="Calibri" w:hAnsi="Calibri"/>
                <w:b w:val="false"/>
                <w:bCs w:val="false"/>
                <w:color w:val="222222"/>
                <w:sz w:val="20"/>
                <w:szCs w:val="20"/>
              </w:rPr>
              <w:t xml:space="preserve">9-10</w:t>
            </w:r>
          </w:p>
        </w:tc>
        <w:tc>
          <w:tcPr>
            <w:tcW w:type="dxa" w:w="7400"/>
            <w:shd w:fill="FFFFFF" w:val="clear"/>
            <w:tcMar>
              <w:top w:type="dxa" w:w="100"/>
              <w:left w:type="dxa" w:w="150"/>
              <w:bottom w:type="dxa" w:w="100"/>
              <w:right w:type="dxa" w:w="150"/>
            </w:tcMar>
          </w:tcPr>
          <w:p>
            <w:r>
              <w:rPr>
                <w:rFonts w:ascii="Calibri" w:cs="Calibri" w:eastAsia="Calibri" w:hAnsi="Calibri"/>
                <w:b w:val="false"/>
                <w:bCs w:val="false"/>
                <w:color w:val="222222"/>
                <w:sz w:val="20"/>
                <w:szCs w:val="20"/>
              </w:rPr>
              <w:t xml:space="preserve">Negociaciones iniciales y remarketing sobre calificados</w:t>
            </w:r>
          </w:p>
        </w:tc>
      </w:tr>
      <w:tr>
        <w:tc>
          <w:tcPr>
            <w:tcW w:type="dxa" w:w="1800"/>
            <w:shd w:fill="F4F3F1" w:val="clear"/>
            <w:tcMar>
              <w:top w:type="dxa" w:w="100"/>
              <w:left w:type="dxa" w:w="150"/>
              <w:bottom w:type="dxa" w:w="100"/>
              <w:right w:type="dxa" w:w="150"/>
            </w:tcMar>
          </w:tcPr>
          <w:p>
            <w:r>
              <w:rPr>
                <w:rFonts w:ascii="Calibri" w:cs="Calibri" w:eastAsia="Calibri" w:hAnsi="Calibri"/>
                <w:b w:val="false"/>
                <w:bCs w:val="false"/>
                <w:color w:val="222222"/>
                <w:sz w:val="20"/>
                <w:szCs w:val="20"/>
              </w:rPr>
              <w:t xml:space="preserve">11-12</w:t>
            </w:r>
          </w:p>
        </w:tc>
        <w:tc>
          <w:tcPr>
            <w:tcW w:type="dxa" w:w="7400"/>
            <w:shd w:fill="F4F3F1" w:val="clear"/>
            <w:tcMar>
              <w:top w:type="dxa" w:w="100"/>
              <w:left w:type="dxa" w:w="150"/>
              <w:bottom w:type="dxa" w:w="100"/>
              <w:right w:type="dxa" w:w="150"/>
            </w:tcMar>
          </w:tcPr>
          <w:p>
            <w:r>
              <w:rPr>
                <w:rFonts w:ascii="Calibri" w:cs="Calibri" w:eastAsia="Calibri" w:hAnsi="Calibri"/>
                <w:b w:val="false"/>
                <w:bCs w:val="false"/>
                <w:color w:val="222222"/>
                <w:sz w:val="20"/>
                <w:szCs w:val="20"/>
              </w:rPr>
              <w:t xml:space="preserve">Cierre con el interesado más avanzado, o evaluación de extender el plazo</w:t>
            </w:r>
          </w:p>
        </w:tc>
      </w:tr>
    </w:tbl>
    <w:p>
      <w:pPr>
        <w:spacing w:before="200"/>
      </w:pPr>
    </w:p>
    <w:p>
      <w:pPr>
        <w:spacing w:after="140"/>
      </w:pPr>
      <w:r>
        <w:rPr>
          <w:rFonts w:ascii="Calibri" w:cs="Calibri" w:eastAsia="Calibri" w:hAnsi="Calibri"/>
          <w:color w:val="222222"/>
          <w:sz w:val="21"/>
          <w:szCs w:val="21"/>
        </w:rPr>
        <w:t xml:space="preserve">Si al cierre de la semana 12 no se ha concretado la venta, el plan continúa: se prioriza a los interesados más avanzados y se evalúa ajustar la segmentación o el mensaje de difusión, según lo acordado con los propietarios.</w:t>
      </w:r>
    </w:p>
    <w:p>
      <w:pPr>
        <w:pBdr>
          <w:bottom w:val="single" w:color="D9D6CF" w:sz="6"/>
        </w:pBdr>
        <w:spacing w:after="200" w:before="100"/>
      </w:pPr>
    </w:p>
    <w:p>
      <w:pPr>
        <w:pStyle w:val="Heading1"/>
        <w:spacing w:after="200" w:before="400"/>
      </w:pPr>
      <w:r>
        <w:rPr>
          <w:rFonts w:ascii="Cambria" w:cs="Cambria" w:eastAsia="Cambria" w:hAnsi="Cambria"/>
          <w:b/>
          <w:bCs/>
          <w:color w:val="1C1F26"/>
          <w:sz w:val="30"/>
          <w:szCs w:val="30"/>
        </w:rPr>
        <w:t xml:space="preserve">10. Honorarios y condiciones de pago</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4200"/>
        <w:gridCol w:w="5000"/>
      </w:tblGrid>
      <w:tr>
        <w:tc>
          <w:tcPr>
            <w:tcW w:type="dxa" w:w="4200"/>
            <w:shd w:fill="1C1F26" w:val="clear"/>
            <w:tcMar>
              <w:top w:type="dxa" w:w="100"/>
              <w:left w:type="dxa" w:w="150"/>
              <w:bottom w:type="dxa" w:w="100"/>
              <w:right w:type="dxa" w:w="150"/>
            </w:tcMar>
          </w:tcPr>
          <w:p>
            <w:r>
              <w:rPr>
                <w:rFonts w:ascii="Calibri" w:cs="Calibri" w:eastAsia="Calibri" w:hAnsi="Calibri"/>
                <w:b/>
                <w:bCs/>
                <w:color w:val="FFFFFF"/>
                <w:sz w:val="20"/>
                <w:szCs w:val="20"/>
              </w:rPr>
              <w:t xml:space="preserve">Concepto</w:t>
            </w:r>
          </w:p>
        </w:tc>
        <w:tc>
          <w:tcPr>
            <w:tcW w:type="dxa" w:w="5000"/>
            <w:shd w:fill="1C1F26" w:val="clear"/>
            <w:tcMar>
              <w:top w:type="dxa" w:w="100"/>
              <w:left w:type="dxa" w:w="150"/>
              <w:bottom w:type="dxa" w:w="100"/>
              <w:right w:type="dxa" w:w="150"/>
            </w:tcMar>
          </w:tcPr>
          <w:p>
            <w:r>
              <w:rPr>
                <w:rFonts w:ascii="Calibri" w:cs="Calibri" w:eastAsia="Calibri" w:hAnsi="Calibri"/>
                <w:b/>
                <w:bCs/>
                <w:color w:val="FFFFFF"/>
                <w:sz w:val="20"/>
                <w:szCs w:val="20"/>
              </w:rPr>
              <w:t xml:space="preserve">Condición</w:t>
            </w:r>
          </w:p>
        </w:tc>
      </w:tr>
      <w:tr>
        <w:tc>
          <w:tcPr>
            <w:tcW w:type="dxa" w:w="4200"/>
            <w:shd w:fill="FFFFFF" w:val="clear"/>
            <w:tcMar>
              <w:top w:type="dxa" w:w="100"/>
              <w:left w:type="dxa" w:w="150"/>
              <w:bottom w:type="dxa" w:w="100"/>
              <w:right w:type="dxa" w:w="150"/>
            </w:tcMar>
          </w:tcPr>
          <w:p>
            <w:r>
              <w:rPr>
                <w:rFonts w:ascii="Calibri" w:cs="Calibri" w:eastAsia="Calibri" w:hAnsi="Calibri"/>
                <w:b w:val="false"/>
                <w:bCs w:val="false"/>
                <w:color w:val="222222"/>
                <w:sz w:val="20"/>
                <w:szCs w:val="20"/>
              </w:rPr>
              <w:t xml:space="preserve">Honorarios de gestión: $950.000 / mes</w:t>
            </w:r>
          </w:p>
        </w:tc>
        <w:tc>
          <w:tcPr>
            <w:tcW w:type="dxa" w:w="5000"/>
            <w:shd w:fill="FFFFFF" w:val="clear"/>
            <w:tcMar>
              <w:top w:type="dxa" w:w="100"/>
              <w:left w:type="dxa" w:w="150"/>
              <w:bottom w:type="dxa" w:w="100"/>
              <w:right w:type="dxa" w:w="150"/>
            </w:tcMar>
          </w:tcPr>
          <w:p>
            <w:r>
              <w:rPr>
                <w:rFonts w:ascii="Calibri" w:cs="Calibri" w:eastAsia="Calibri" w:hAnsi="Calibri"/>
                <w:b w:val="false"/>
                <w:bCs w:val="false"/>
                <w:color w:val="222222"/>
                <w:sz w:val="20"/>
                <w:szCs w:val="20"/>
              </w:rPr>
              <w:t xml:space="preserve">Cubre estrategia, difusión, calificación y gestión operativa. Los propietarios asumen aparte el presupuesto de pauta en Meta Ads. Se paga siempre, sin importar el origen del comprador final.</w:t>
            </w:r>
          </w:p>
        </w:tc>
      </w:tr>
      <w:tr>
        <w:tc>
          <w:tcPr>
            <w:tcW w:type="dxa" w:w="4200"/>
            <w:shd w:fill="F4F3F1" w:val="clear"/>
            <w:tcMar>
              <w:top w:type="dxa" w:w="100"/>
              <w:left w:type="dxa" w:w="150"/>
              <w:bottom w:type="dxa" w:w="100"/>
              <w:right w:type="dxa" w:w="150"/>
            </w:tcMar>
          </w:tcPr>
          <w:p>
            <w:r>
              <w:rPr>
                <w:rFonts w:ascii="Calibri" w:cs="Calibri" w:eastAsia="Calibri" w:hAnsi="Calibri"/>
                <w:b w:val="false"/>
                <w:bCs w:val="false"/>
                <w:color w:val="222222"/>
                <w:sz w:val="20"/>
                <w:szCs w:val="20"/>
              </w:rPr>
              <w:t xml:space="preserve">Comisión de éxito: 3% del valor de venta ($120.000.000)</w:t>
            </w:r>
          </w:p>
        </w:tc>
        <w:tc>
          <w:tcPr>
            <w:tcW w:type="dxa" w:w="5000"/>
            <w:shd w:fill="F4F3F1" w:val="clear"/>
            <w:tcMar>
              <w:top w:type="dxa" w:w="100"/>
              <w:left w:type="dxa" w:w="150"/>
              <w:bottom w:type="dxa" w:w="100"/>
              <w:right w:type="dxa" w:w="150"/>
            </w:tcMar>
          </w:tcPr>
          <w:p>
            <w:r>
              <w:rPr>
                <w:rFonts w:ascii="Calibri" w:cs="Calibri" w:eastAsia="Calibri" w:hAnsi="Calibri"/>
                <w:b w:val="false"/>
                <w:bCs w:val="false"/>
                <w:color w:val="222222"/>
                <w:sz w:val="20"/>
                <w:szCs w:val="20"/>
              </w:rPr>
              <w:t xml:space="preserve">Aplica únicamente si el comprador que cierra la operación es entregado directamente por esta gestión. Si el cierre se da por un contacto ajeno a esta campaña, no aplica.</w:t>
            </w:r>
          </w:p>
        </w:tc>
      </w:tr>
    </w:tbl>
    <w:p>
      <w:pPr>
        <w:spacing w:before="200"/>
      </w:pPr>
    </w:p>
    <w:p>
      <w:pPr>
        <w:spacing w:after="140"/>
      </w:pPr>
      <w:r>
        <w:rPr>
          <w:rFonts w:ascii="Calibri" w:cs="Calibri" w:eastAsia="Calibri" w:hAnsi="Calibri"/>
          <w:color w:val="222222"/>
          <w:sz w:val="21"/>
          <w:szCs w:val="21"/>
        </w:rPr>
        <w:t xml:space="preserve">Este esquema alinea el incentivo del equipo de gestión con el resultado final (la venta), sin penalizar a los propietarios si el comprador surge por un canal distinto al de esta campaña.</w:t>
      </w:r>
    </w:p>
    <w:p>
      <w:pPr>
        <w:pBdr>
          <w:bottom w:val="single" w:color="D9D6CF" w:sz="6"/>
        </w:pBdr>
        <w:spacing w:after="200" w:before="100"/>
      </w:pPr>
    </w:p>
    <w:p>
      <w:pPr>
        <w:pStyle w:val="Heading1"/>
        <w:spacing w:after="200" w:before="400"/>
      </w:pPr>
      <w:r>
        <w:rPr>
          <w:rFonts w:ascii="Cambria" w:cs="Cambria" w:eastAsia="Cambria" w:hAnsi="Cambria"/>
          <w:b/>
          <w:bCs/>
          <w:color w:val="1C1F26"/>
          <w:sz w:val="30"/>
          <w:szCs w:val="30"/>
        </w:rPr>
        <w:t xml:space="preserve">11. Riesgos y supuestos</w:t>
      </w:r>
    </w:p>
    <w:p>
      <w:pPr>
        <w:pStyle w:val="ListParagraph"/>
        <w:numPr>
          <w:ilvl w:val="0"/>
          <w:numId w:val="2"/>
        </w:numPr>
        <w:spacing w:after="90"/>
      </w:pPr>
      <w:r>
        <w:rPr>
          <w:rFonts w:ascii="Calibri" w:cs="Calibri" w:eastAsia="Calibri" w:hAnsi="Calibri"/>
          <w:color w:val="222222"/>
          <w:sz w:val="21"/>
          <w:szCs w:val="21"/>
        </w:rPr>
        <w:t xml:space="preserve">El plazo de 3 meses es un objetivo, no una garantía: la venta de un activo de este tamaño depende también de la respuesta del mercado y de la resolución de los frentes legales.</w:t>
      </w:r>
    </w:p>
    <w:p>
      <w:pPr>
        <w:pStyle w:val="ListParagraph"/>
        <w:numPr>
          <w:ilvl w:val="0"/>
          <w:numId w:val="2"/>
        </w:numPr>
        <w:spacing w:after="90"/>
      </w:pPr>
      <w:r>
        <w:rPr>
          <w:rFonts w:ascii="Calibri" w:cs="Calibri" w:eastAsia="Calibri" w:hAnsi="Calibri"/>
          <w:color w:val="222222"/>
          <w:sz w:val="21"/>
          <w:szCs w:val="21"/>
        </w:rPr>
        <w:t xml:space="preserve">Si el proceso de sucesión no tiene fecha estimada de resolución, se debe informar a cualquier comprador avanzado antes de firmar compromisos vinculantes, para evitar pérdida de confianza.</w:t>
      </w:r>
    </w:p>
    <w:p>
      <w:pPr>
        <w:pStyle w:val="ListParagraph"/>
        <w:numPr>
          <w:ilvl w:val="0"/>
          <w:numId w:val="2"/>
        </w:numPr>
        <w:spacing w:after="90"/>
      </w:pPr>
      <w:r>
        <w:rPr>
          <w:rFonts w:ascii="Calibri" w:cs="Calibri" w:eastAsia="Calibri" w:hAnsi="Calibri"/>
          <w:color w:val="222222"/>
          <w:sz w:val="21"/>
          <w:szCs w:val="21"/>
        </w:rPr>
        <w:t xml:space="preserve">Al usar Meta Ads como único canal, la campaña depende de la calidad de la segmentación; se recomienda revisar el desempeño cada 2 semanas y ajustar según los perfiles que mejor califiquen.</w:t>
      </w:r>
    </w:p>
    <w:p>
      <w:pPr>
        <w:pStyle w:val="ListParagraph"/>
        <w:numPr>
          <w:ilvl w:val="0"/>
          <w:numId w:val="2"/>
        </w:numPr>
        <w:spacing w:after="90"/>
      </w:pPr>
      <w:r>
        <w:rPr>
          <w:rFonts w:ascii="Calibri" w:cs="Calibri" w:eastAsia="Calibri" w:hAnsi="Calibri"/>
          <w:color w:val="222222"/>
          <w:sz w:val="21"/>
          <w:szCs w:val="21"/>
        </w:rPr>
        <w:t xml:space="preserve">Toda cifra financiera comunicada al mercado debe ser bruta y estar claramente etiquetada como tal.</w:t>
      </w:r>
    </w:p>
    <w:sectPr>
      <w:headerReference w:type="default" r:id="rId7"/>
      <w:footerReference w:type="default" r:id="rId8"/>
      <w:pgSz w:w="12240" w:h="15840" w:orient="portrait"/>
      <w:pgMar w:top="1080" w:right="1200" w:bottom="1080" w:left="12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6B6B66"/>
        <w:sz w:val="16"/>
        <w:szCs w:val="16"/>
      </w:rPr>
      <w:t xml:space="preserve">Confidencial — </w:t>
    </w:r>
    <w:r>
      <w:rPr>
        <w:rFonts w:ascii="Calibri" w:cs="Calibri" w:eastAsia="Calibri" w:hAnsi="Calibri"/>
        <w:color w:val="6B6B66"/>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9D6CF" w:sz="4"/>
      </w:pBdr>
      <w:jc w:val="right"/>
    </w:pPr>
    <w:r>
      <w:rPr>
        <w:rFonts w:ascii="Calibri" w:cs="Calibri" w:eastAsia="Calibri" w:hAnsi="Calibri"/>
        <w:color w:val="6B6B66"/>
        <w:sz w:val="16"/>
        <w:szCs w:val="16"/>
      </w:rPr>
      <w:t xml:space="preserve">Hosty56 · Plan de Trabajo Operativo</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60"/>
      </w:pPr>
    </w:lvl>
  </w:abstractNum>
  <w:abstractNum w:abstractNumId="3" w15:restartNumberingAfterBreak="0">
    <w:multiLevelType w:val="hybridMultilevel"/>
    <w:lvl w:ilvl="0" w15:tentative="1">
      <w:start w:val="1"/>
      <w:numFmt w:val="decimal"/>
      <w:lvlText w:val="%1."/>
      <w:lvlJc w:val="left"/>
      <w:pPr>
        <w:ind w:left="400" w:hanging="300"/>
      </w:pPr>
    </w:lvl>
  </w:abstractNum>
  <w:abstractNum w:abstractNumId="4" w15:restartNumberingAfterBreak="0">
    <w:multiLevelType w:val="hybridMultilevel"/>
    <w:lvl w:ilvl="0" w15:tentative="1">
      <w:start w:val="1"/>
      <w:numFmt w:val="decimal"/>
      <w:lvlText w:val="%1."/>
      <w:lvlJc w:val="left"/>
      <w:pPr>
        <w:ind w:left="400" w:hanging="30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2026-08-22T21:08:19.889Z</dcterms:created>
  <dcterms:modified xsi:type="dcterms:W3CDTF">2026-08-22T21:08:19.889Z</dcterms:modified>
</cp:coreProperties>
</file>

<file path=docProps/custom.xml><?xml version="1.0" encoding="utf-8"?>
<Properties xmlns="http://schemas.openxmlformats.org/officeDocument/2006/custom-properties" xmlns:vt="http://schemas.openxmlformats.org/officeDocument/2006/docPropsVTypes"/>
</file>